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631EDF" w:rsidR="00631EDF" w:rsidP="00631EDF" w:rsidRDefault="00631EDF">
      <w:pPr>
        <w:pStyle w:val="Default"/>
        <w:ind w:left="4140" w:right="140"/>
        <w:jc w:val="right"/>
        <w:rPr>
          <w:sz w:val="22"/>
          <w:szCs w:val="22"/>
        </w:rPr>
      </w:pPr>
      <w:r>
        <w:rPr>
          <w:sz w:val="22"/>
          <w:szCs w:val="22"/>
        </w:rPr>
        <w:t>Agenda Item No</w:t>
      </w:r>
      <w:r w:rsidR="009D64B0">
        <w:rPr>
          <w:sz w:val="22"/>
          <w:szCs w:val="22"/>
        </w:rPr>
        <w:t xml:space="preserve"> </w:t>
      </w:r>
      <w:r w:rsidR="006370D3">
        <w:rPr>
          <w:sz w:val="22"/>
          <w:szCs w:val="22"/>
        </w:rPr>
        <w:t>4</w:t>
      </w:r>
    </w:p>
    <w:p w:rsidRPr="008D5F6A" w:rsidR="00A229D1" w:rsidP="00A229D1" w:rsidRDefault="00A229D1">
      <w:pPr>
        <w:pStyle w:val="Default"/>
        <w:jc w:val="center"/>
        <w:rPr>
          <w:sz w:val="26"/>
          <w:szCs w:val="26"/>
          <w:u w:val="single"/>
        </w:rPr>
      </w:pPr>
      <w:r w:rsidRPr="008D5F6A">
        <w:rPr>
          <w:b/>
          <w:bCs/>
          <w:sz w:val="26"/>
          <w:szCs w:val="26"/>
          <w:u w:val="single"/>
        </w:rPr>
        <w:t xml:space="preserve">DERBYSHIRE COUNTY COUNCIL </w:t>
      </w:r>
    </w:p>
    <w:p w:rsidR="00A229D1" w:rsidP="00A229D1" w:rsidRDefault="00A229D1">
      <w:pPr>
        <w:pStyle w:val="Default"/>
        <w:jc w:val="center"/>
        <w:rPr>
          <w:b/>
          <w:bCs/>
          <w:sz w:val="26"/>
          <w:szCs w:val="26"/>
        </w:rPr>
      </w:pPr>
    </w:p>
    <w:p w:rsidRPr="008D5F6A" w:rsidR="00A229D1" w:rsidP="00A229D1" w:rsidRDefault="00586D90">
      <w:pPr>
        <w:pStyle w:val="Default"/>
        <w:jc w:val="center"/>
        <w:rPr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t>Schools Forum</w:t>
      </w:r>
    </w:p>
    <w:p w:rsidR="00A229D1" w:rsidP="00A229D1" w:rsidRDefault="00A229D1">
      <w:pPr>
        <w:pStyle w:val="Default"/>
        <w:jc w:val="center"/>
        <w:rPr>
          <w:b/>
          <w:bCs/>
          <w:sz w:val="26"/>
          <w:szCs w:val="26"/>
        </w:rPr>
      </w:pPr>
    </w:p>
    <w:p w:rsidRPr="008D5F6A" w:rsidR="00A229D1" w:rsidP="00A229D1" w:rsidRDefault="009D64B0">
      <w:pPr>
        <w:pStyle w:val="Default"/>
        <w:jc w:val="center"/>
        <w:rPr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t>14</w:t>
      </w:r>
      <w:r w:rsidRPr="006370D3" w:rsidR="006370D3">
        <w:rPr>
          <w:b/>
          <w:bCs/>
          <w:sz w:val="26"/>
          <w:szCs w:val="26"/>
          <w:u w:val="single"/>
          <w:vertAlign w:val="superscript"/>
        </w:rPr>
        <w:t>th</w:t>
      </w:r>
      <w:r w:rsidR="006370D3">
        <w:rPr>
          <w:b/>
          <w:bCs/>
          <w:sz w:val="26"/>
          <w:szCs w:val="26"/>
          <w:u w:val="single"/>
        </w:rPr>
        <w:t xml:space="preserve"> </w:t>
      </w:r>
      <w:r>
        <w:rPr>
          <w:b/>
          <w:bCs/>
          <w:sz w:val="26"/>
          <w:szCs w:val="26"/>
          <w:u w:val="single"/>
        </w:rPr>
        <w:t>December</w:t>
      </w:r>
      <w:r w:rsidR="00586D90">
        <w:rPr>
          <w:b/>
          <w:bCs/>
          <w:sz w:val="26"/>
          <w:szCs w:val="26"/>
          <w:u w:val="single"/>
        </w:rPr>
        <w:t xml:space="preserve"> 2</w:t>
      </w:r>
      <w:r w:rsidRPr="008D5F6A" w:rsidR="00425F4A">
        <w:rPr>
          <w:b/>
          <w:bCs/>
          <w:sz w:val="26"/>
          <w:szCs w:val="26"/>
          <w:u w:val="single"/>
        </w:rPr>
        <w:t>01</w:t>
      </w:r>
      <w:r w:rsidR="008A295F">
        <w:rPr>
          <w:b/>
          <w:bCs/>
          <w:sz w:val="26"/>
          <w:szCs w:val="26"/>
          <w:u w:val="single"/>
        </w:rPr>
        <w:t>7</w:t>
      </w:r>
    </w:p>
    <w:p w:rsidRPr="004F644C" w:rsidR="00A229D1" w:rsidP="00A229D1" w:rsidRDefault="00A229D1">
      <w:pPr>
        <w:pStyle w:val="Default"/>
        <w:jc w:val="center"/>
        <w:rPr>
          <w:b/>
          <w:bCs/>
          <w:sz w:val="26"/>
          <w:szCs w:val="26"/>
        </w:rPr>
      </w:pPr>
    </w:p>
    <w:p w:rsidRPr="008D5F6A" w:rsidR="00A229D1" w:rsidP="008D5F6A" w:rsidRDefault="00A229D1">
      <w:pPr>
        <w:pStyle w:val="Default"/>
        <w:jc w:val="center"/>
        <w:rPr>
          <w:b/>
          <w:bCs/>
          <w:sz w:val="26"/>
          <w:szCs w:val="26"/>
          <w:u w:val="single"/>
        </w:rPr>
      </w:pPr>
      <w:r w:rsidRPr="008D5F6A">
        <w:rPr>
          <w:b/>
          <w:bCs/>
          <w:sz w:val="26"/>
          <w:szCs w:val="26"/>
          <w:u w:val="single"/>
        </w:rPr>
        <w:t>Report of the Strategic</w:t>
      </w:r>
      <w:r w:rsidRPr="008D5F6A" w:rsidR="008D5F6A">
        <w:rPr>
          <w:b/>
          <w:bCs/>
          <w:sz w:val="26"/>
          <w:szCs w:val="26"/>
          <w:u w:val="single"/>
        </w:rPr>
        <w:t xml:space="preserve"> </w:t>
      </w:r>
      <w:r w:rsidRPr="008D5F6A">
        <w:rPr>
          <w:b/>
          <w:bCs/>
          <w:sz w:val="26"/>
          <w:szCs w:val="26"/>
          <w:u w:val="single"/>
        </w:rPr>
        <w:t>Director for Children</w:t>
      </w:r>
      <w:r w:rsidR="001E703D">
        <w:rPr>
          <w:b/>
          <w:bCs/>
          <w:sz w:val="26"/>
          <w:szCs w:val="26"/>
          <w:u w:val="single"/>
        </w:rPr>
        <w:t>’s Services</w:t>
      </w:r>
      <w:r w:rsidRPr="008D5F6A">
        <w:rPr>
          <w:b/>
          <w:bCs/>
          <w:sz w:val="26"/>
          <w:szCs w:val="26"/>
          <w:u w:val="single"/>
        </w:rPr>
        <w:t xml:space="preserve"> </w:t>
      </w:r>
    </w:p>
    <w:p w:rsidRPr="004F644C" w:rsidR="00A229D1" w:rsidP="00A229D1" w:rsidRDefault="00A229D1">
      <w:pPr>
        <w:pStyle w:val="Default"/>
        <w:jc w:val="center"/>
        <w:rPr>
          <w:sz w:val="26"/>
          <w:szCs w:val="26"/>
        </w:rPr>
      </w:pPr>
    </w:p>
    <w:p w:rsidRPr="008D5F6A" w:rsidR="00415A29" w:rsidP="008D5F6A" w:rsidRDefault="00586D90">
      <w:pPr>
        <w:pStyle w:val="Default"/>
        <w:jc w:val="center"/>
        <w:rPr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t xml:space="preserve">Dedicated Schools Grant </w:t>
      </w:r>
      <w:r w:rsidR="009D64B0">
        <w:rPr>
          <w:b/>
          <w:bCs/>
          <w:sz w:val="26"/>
          <w:szCs w:val="26"/>
          <w:u w:val="single"/>
        </w:rPr>
        <w:t>Monitoring</w:t>
      </w:r>
      <w:r>
        <w:rPr>
          <w:b/>
          <w:bCs/>
          <w:sz w:val="26"/>
          <w:szCs w:val="26"/>
          <w:u w:val="single"/>
        </w:rPr>
        <w:t xml:space="preserve"> </w:t>
      </w:r>
      <w:r w:rsidRPr="008D5F6A" w:rsidR="00A229D1">
        <w:rPr>
          <w:b/>
          <w:bCs/>
          <w:sz w:val="26"/>
          <w:szCs w:val="26"/>
          <w:u w:val="single"/>
        </w:rPr>
        <w:t>20</w:t>
      </w:r>
      <w:r w:rsidRPr="008D5F6A" w:rsidR="00990A95">
        <w:rPr>
          <w:b/>
          <w:bCs/>
          <w:sz w:val="26"/>
          <w:szCs w:val="26"/>
          <w:u w:val="single"/>
        </w:rPr>
        <w:t>1</w:t>
      </w:r>
      <w:r w:rsidR="009D64B0">
        <w:rPr>
          <w:b/>
          <w:bCs/>
          <w:sz w:val="26"/>
          <w:szCs w:val="26"/>
          <w:u w:val="single"/>
        </w:rPr>
        <w:t>7</w:t>
      </w:r>
      <w:r w:rsidR="00F036CD">
        <w:rPr>
          <w:b/>
          <w:bCs/>
          <w:sz w:val="26"/>
          <w:szCs w:val="26"/>
          <w:u w:val="single"/>
        </w:rPr>
        <w:t>-</w:t>
      </w:r>
      <w:r w:rsidRPr="008D5F6A" w:rsidR="00CA6E26">
        <w:rPr>
          <w:b/>
          <w:bCs/>
          <w:sz w:val="26"/>
          <w:szCs w:val="26"/>
          <w:u w:val="single"/>
        </w:rPr>
        <w:t>1</w:t>
      </w:r>
      <w:r w:rsidR="009D64B0">
        <w:rPr>
          <w:b/>
          <w:bCs/>
          <w:sz w:val="26"/>
          <w:szCs w:val="26"/>
          <w:u w:val="single"/>
        </w:rPr>
        <w:t>8</w:t>
      </w:r>
    </w:p>
    <w:p w:rsidRPr="00A52A6D" w:rsidR="00A229D1" w:rsidP="00A229D1" w:rsidRDefault="00A229D1">
      <w:pPr>
        <w:pStyle w:val="Default"/>
        <w:rPr>
          <w:sz w:val="26"/>
          <w:szCs w:val="26"/>
        </w:rPr>
      </w:pPr>
    </w:p>
    <w:p w:rsidRPr="00290D3B" w:rsidR="00A229D1" w:rsidP="00A229D1" w:rsidRDefault="00A229D1">
      <w:pPr>
        <w:pStyle w:val="Default"/>
        <w:numPr>
          <w:ilvl w:val="0"/>
          <w:numId w:val="3"/>
        </w:numPr>
        <w:tabs>
          <w:tab w:val="clear" w:pos="540"/>
          <w:tab w:val="num" w:pos="720"/>
        </w:tabs>
        <w:ind w:hanging="540"/>
        <w:rPr>
          <w:b/>
          <w:bCs/>
          <w:sz w:val="26"/>
          <w:szCs w:val="26"/>
          <w:u w:val="single"/>
        </w:rPr>
      </w:pPr>
      <w:r w:rsidRPr="00290D3B">
        <w:rPr>
          <w:b/>
          <w:bCs/>
          <w:sz w:val="26"/>
          <w:szCs w:val="26"/>
          <w:u w:val="single"/>
        </w:rPr>
        <w:t xml:space="preserve">Purpose of Report </w:t>
      </w:r>
    </w:p>
    <w:p w:rsidRPr="00A52A6D" w:rsidR="00A229D1" w:rsidP="00A229D1" w:rsidRDefault="00A229D1">
      <w:pPr>
        <w:pStyle w:val="Default"/>
        <w:ind w:left="360"/>
        <w:rPr>
          <w:sz w:val="26"/>
          <w:szCs w:val="26"/>
        </w:rPr>
      </w:pPr>
    </w:p>
    <w:p w:rsidRPr="00A52A6D" w:rsidR="00A229D1" w:rsidP="00FB6B83" w:rsidRDefault="00A229D1">
      <w:pPr>
        <w:pStyle w:val="Default"/>
        <w:rPr>
          <w:sz w:val="26"/>
          <w:szCs w:val="26"/>
        </w:rPr>
      </w:pPr>
      <w:r w:rsidRPr="00A52A6D">
        <w:rPr>
          <w:sz w:val="26"/>
          <w:szCs w:val="26"/>
        </w:rPr>
        <w:t xml:space="preserve">To report the </w:t>
      </w:r>
      <w:r w:rsidR="009D64B0">
        <w:rPr>
          <w:sz w:val="26"/>
          <w:szCs w:val="26"/>
        </w:rPr>
        <w:t xml:space="preserve">latest projected </w:t>
      </w:r>
      <w:r w:rsidRPr="00A52A6D">
        <w:rPr>
          <w:sz w:val="26"/>
          <w:szCs w:val="26"/>
        </w:rPr>
        <w:t>out</w:t>
      </w:r>
      <w:r w:rsidR="008D5F6A">
        <w:rPr>
          <w:sz w:val="26"/>
          <w:szCs w:val="26"/>
        </w:rPr>
        <w:t>-</w:t>
      </w:r>
      <w:r w:rsidRPr="00A52A6D">
        <w:rPr>
          <w:sz w:val="26"/>
          <w:szCs w:val="26"/>
        </w:rPr>
        <w:t xml:space="preserve">turn position for </w:t>
      </w:r>
      <w:r w:rsidR="00586D90">
        <w:rPr>
          <w:sz w:val="26"/>
          <w:szCs w:val="26"/>
        </w:rPr>
        <w:t>the 201</w:t>
      </w:r>
      <w:r w:rsidR="009D64B0">
        <w:rPr>
          <w:sz w:val="26"/>
          <w:szCs w:val="26"/>
        </w:rPr>
        <w:t>7</w:t>
      </w:r>
      <w:r w:rsidR="00586D90">
        <w:rPr>
          <w:sz w:val="26"/>
          <w:szCs w:val="26"/>
        </w:rPr>
        <w:t>-1</w:t>
      </w:r>
      <w:r w:rsidR="009D64B0">
        <w:rPr>
          <w:sz w:val="26"/>
          <w:szCs w:val="26"/>
        </w:rPr>
        <w:t>8</w:t>
      </w:r>
      <w:r w:rsidR="00586D90">
        <w:rPr>
          <w:sz w:val="26"/>
          <w:szCs w:val="26"/>
        </w:rPr>
        <w:t xml:space="preserve"> Dedicated Schools Grant (DSG)</w:t>
      </w:r>
      <w:r w:rsidRPr="00A52A6D">
        <w:rPr>
          <w:sz w:val="26"/>
          <w:szCs w:val="26"/>
        </w:rPr>
        <w:t>.</w:t>
      </w:r>
    </w:p>
    <w:p w:rsidRPr="00A52A6D" w:rsidR="00A229D1" w:rsidP="00A229D1" w:rsidRDefault="00A229D1">
      <w:pPr>
        <w:pStyle w:val="Default"/>
        <w:ind w:left="720"/>
        <w:jc w:val="both"/>
        <w:rPr>
          <w:sz w:val="26"/>
          <w:szCs w:val="26"/>
        </w:rPr>
      </w:pPr>
    </w:p>
    <w:p w:rsidRPr="00A52A6D" w:rsidR="00A229D1" w:rsidP="00A229D1" w:rsidRDefault="00A229D1">
      <w:pPr>
        <w:pStyle w:val="Default"/>
        <w:rPr>
          <w:sz w:val="26"/>
          <w:szCs w:val="26"/>
        </w:rPr>
      </w:pPr>
      <w:r w:rsidRPr="00A52A6D">
        <w:rPr>
          <w:b/>
          <w:bCs/>
          <w:sz w:val="26"/>
          <w:szCs w:val="26"/>
        </w:rPr>
        <w:t xml:space="preserve">2. </w:t>
      </w:r>
      <w:r w:rsidRPr="00A52A6D">
        <w:rPr>
          <w:b/>
          <w:bCs/>
          <w:sz w:val="26"/>
          <w:szCs w:val="26"/>
        </w:rPr>
        <w:tab/>
      </w:r>
      <w:r w:rsidRPr="00290D3B">
        <w:rPr>
          <w:b/>
          <w:bCs/>
          <w:sz w:val="26"/>
          <w:szCs w:val="26"/>
          <w:u w:val="single"/>
        </w:rPr>
        <w:t>Information and Analysis</w:t>
      </w:r>
      <w:r w:rsidRPr="00A52A6D">
        <w:rPr>
          <w:b/>
          <w:bCs/>
          <w:sz w:val="26"/>
          <w:szCs w:val="26"/>
        </w:rPr>
        <w:t xml:space="preserve"> </w:t>
      </w:r>
    </w:p>
    <w:p w:rsidRPr="00A52A6D" w:rsidR="00A229D1" w:rsidP="00A229D1" w:rsidRDefault="00A229D1">
      <w:pPr>
        <w:pStyle w:val="Default"/>
        <w:numPr>
          <w:ilvl w:val="0"/>
          <w:numId w:val="1"/>
        </w:numPr>
        <w:ind w:left="720" w:hanging="720"/>
        <w:rPr>
          <w:sz w:val="26"/>
          <w:szCs w:val="26"/>
        </w:rPr>
      </w:pPr>
    </w:p>
    <w:p w:rsidRPr="00A52A6D" w:rsidR="00A229D1" w:rsidP="00A229D1" w:rsidRDefault="00A229D1">
      <w:pPr>
        <w:pStyle w:val="Default"/>
        <w:rPr>
          <w:sz w:val="26"/>
          <w:szCs w:val="26"/>
        </w:rPr>
      </w:pPr>
      <w:r w:rsidRPr="00A52A6D">
        <w:rPr>
          <w:b/>
          <w:bCs/>
          <w:sz w:val="26"/>
          <w:szCs w:val="26"/>
        </w:rPr>
        <w:t xml:space="preserve">2.1 </w:t>
      </w:r>
      <w:r w:rsidRPr="00A52A6D">
        <w:rPr>
          <w:b/>
          <w:bCs/>
          <w:sz w:val="26"/>
          <w:szCs w:val="26"/>
        </w:rPr>
        <w:tab/>
      </w:r>
      <w:r w:rsidRPr="00290D3B">
        <w:rPr>
          <w:b/>
          <w:bCs/>
          <w:sz w:val="26"/>
          <w:szCs w:val="26"/>
          <w:u w:val="single"/>
        </w:rPr>
        <w:t>Summary</w:t>
      </w:r>
      <w:r w:rsidRPr="00A52A6D">
        <w:rPr>
          <w:b/>
          <w:bCs/>
          <w:sz w:val="26"/>
          <w:szCs w:val="26"/>
        </w:rPr>
        <w:t xml:space="preserve"> </w:t>
      </w:r>
    </w:p>
    <w:p w:rsidRPr="00A52A6D" w:rsidR="00A229D1" w:rsidP="00A229D1" w:rsidRDefault="00A229D1">
      <w:pPr>
        <w:pStyle w:val="Default"/>
        <w:jc w:val="both"/>
        <w:rPr>
          <w:sz w:val="26"/>
          <w:szCs w:val="26"/>
        </w:rPr>
      </w:pPr>
    </w:p>
    <w:p w:rsidR="0084307E" w:rsidP="00FB6B83" w:rsidRDefault="00EA7810">
      <w:pPr>
        <w:pStyle w:val="Default"/>
        <w:rPr>
          <w:sz w:val="26"/>
          <w:szCs w:val="26"/>
        </w:rPr>
      </w:pPr>
      <w:r w:rsidRPr="00B225A6">
        <w:rPr>
          <w:sz w:val="26"/>
          <w:szCs w:val="26"/>
        </w:rPr>
        <w:t xml:space="preserve">The DSG is a ring-fenced grant </w:t>
      </w:r>
      <w:r w:rsidR="009D64B0">
        <w:rPr>
          <w:sz w:val="26"/>
          <w:szCs w:val="26"/>
        </w:rPr>
        <w:t>comprising the Schools Block, High Needs Block, Early Years Block and Central Budgets.  In 2017</w:t>
      </w:r>
      <w:r w:rsidR="00313545">
        <w:rPr>
          <w:sz w:val="26"/>
          <w:szCs w:val="26"/>
        </w:rPr>
        <w:t>-</w:t>
      </w:r>
      <w:r w:rsidR="009D64B0">
        <w:rPr>
          <w:sz w:val="26"/>
          <w:szCs w:val="26"/>
        </w:rPr>
        <w:t xml:space="preserve">18, these individual elements are not ring-fenced.  </w:t>
      </w:r>
      <w:r w:rsidRPr="00B225A6">
        <w:rPr>
          <w:sz w:val="26"/>
          <w:szCs w:val="26"/>
        </w:rPr>
        <w:t xml:space="preserve">Any under or overspend on the grant </w:t>
      </w:r>
      <w:r w:rsidR="009D64B0">
        <w:rPr>
          <w:sz w:val="26"/>
          <w:szCs w:val="26"/>
        </w:rPr>
        <w:t>can be</w:t>
      </w:r>
      <w:r w:rsidRPr="00B225A6">
        <w:rPr>
          <w:sz w:val="26"/>
          <w:szCs w:val="26"/>
        </w:rPr>
        <w:t xml:space="preserve"> </w:t>
      </w:r>
      <w:r w:rsidRPr="00B225A6" w:rsidR="00B959C2">
        <w:rPr>
          <w:sz w:val="26"/>
          <w:szCs w:val="26"/>
        </w:rPr>
        <w:t>carried forward to future years.</w:t>
      </w:r>
      <w:r w:rsidR="0084307E">
        <w:rPr>
          <w:sz w:val="26"/>
          <w:szCs w:val="26"/>
        </w:rPr>
        <w:t xml:space="preserve">  </w:t>
      </w:r>
    </w:p>
    <w:p w:rsidR="0084307E" w:rsidP="00FB6B83" w:rsidRDefault="0084307E">
      <w:pPr>
        <w:pStyle w:val="Default"/>
        <w:rPr>
          <w:sz w:val="26"/>
          <w:szCs w:val="26"/>
        </w:rPr>
      </w:pPr>
    </w:p>
    <w:p w:rsidR="009D64B0" w:rsidP="00FB6B83" w:rsidRDefault="009D64B0">
      <w:pPr>
        <w:pStyle w:val="Default"/>
        <w:rPr>
          <w:sz w:val="26"/>
          <w:szCs w:val="26"/>
        </w:rPr>
      </w:pPr>
      <w:r>
        <w:rPr>
          <w:sz w:val="26"/>
          <w:szCs w:val="26"/>
        </w:rPr>
        <w:t>Funding allocated to schools</w:t>
      </w:r>
      <w:r w:rsidR="00FB6B83">
        <w:rPr>
          <w:sz w:val="26"/>
          <w:szCs w:val="26"/>
        </w:rPr>
        <w:t>,</w:t>
      </w:r>
      <w:r>
        <w:rPr>
          <w:sz w:val="26"/>
          <w:szCs w:val="26"/>
        </w:rPr>
        <w:t xml:space="preserve"> either as their allocated budget or as additional payments during the year for Early Years provision of for additional provision for pupils with High Needs</w:t>
      </w:r>
      <w:r w:rsidR="00FB6B83">
        <w:rPr>
          <w:sz w:val="26"/>
          <w:szCs w:val="26"/>
        </w:rPr>
        <w:t>,</w:t>
      </w:r>
      <w:r>
        <w:rPr>
          <w:sz w:val="26"/>
          <w:szCs w:val="26"/>
        </w:rPr>
        <w:t xml:space="preserve"> can be carried forward at the end of a school’s financial year as part of a school’s balance.  Funding allocated to schools is therefore treated as fully spent for the purpose of projecting the use of the Dedicated Schools Grant by the LA</w:t>
      </w:r>
      <w:r w:rsidR="00FB6B83">
        <w:rPr>
          <w:sz w:val="26"/>
          <w:szCs w:val="26"/>
        </w:rPr>
        <w:t>,</w:t>
      </w:r>
      <w:r>
        <w:rPr>
          <w:sz w:val="26"/>
          <w:szCs w:val="26"/>
        </w:rPr>
        <w:t xml:space="preserve"> regardless of whether the formula allocation is to an Authority school or to an Academy.  </w:t>
      </w:r>
    </w:p>
    <w:p w:rsidR="009D64B0" w:rsidP="00FB6B83" w:rsidRDefault="009D64B0">
      <w:pPr>
        <w:pStyle w:val="Default"/>
        <w:rPr>
          <w:sz w:val="26"/>
          <w:szCs w:val="26"/>
        </w:rPr>
      </w:pPr>
    </w:p>
    <w:p w:rsidR="009D64B0" w:rsidP="00FB6B83" w:rsidRDefault="006C1F6F">
      <w:pPr>
        <w:pStyle w:val="Default"/>
        <w:rPr>
          <w:sz w:val="26"/>
          <w:szCs w:val="26"/>
        </w:rPr>
      </w:pPr>
      <w:r>
        <w:rPr>
          <w:sz w:val="26"/>
          <w:szCs w:val="26"/>
        </w:rPr>
        <w:t>Overall, expenditure of £426.757 million is projected against a grant of £423.117 million plus use of previous years’ unspent grant income £4.535 million, a net underspend of £0.89</w:t>
      </w:r>
      <w:r w:rsidR="00FB6B83">
        <w:rPr>
          <w:sz w:val="26"/>
          <w:szCs w:val="26"/>
        </w:rPr>
        <w:t xml:space="preserve">5 </w:t>
      </w:r>
      <w:r>
        <w:rPr>
          <w:sz w:val="26"/>
          <w:szCs w:val="26"/>
        </w:rPr>
        <w:t>million.</w:t>
      </w:r>
    </w:p>
    <w:p w:rsidR="009D64B0" w:rsidP="00FB6B83" w:rsidRDefault="009D64B0">
      <w:pPr>
        <w:pStyle w:val="Default"/>
        <w:rPr>
          <w:sz w:val="26"/>
          <w:szCs w:val="26"/>
        </w:rPr>
      </w:pPr>
    </w:p>
    <w:p w:rsidR="00C54548" w:rsidP="00FB6B83" w:rsidRDefault="004E48F0">
      <w:pPr>
        <w:pStyle w:val="Default"/>
        <w:rPr>
          <w:sz w:val="26"/>
          <w:szCs w:val="26"/>
        </w:rPr>
      </w:pPr>
      <w:r w:rsidRPr="00C54548">
        <w:rPr>
          <w:sz w:val="26"/>
          <w:szCs w:val="26"/>
        </w:rPr>
        <w:t xml:space="preserve">The table </w:t>
      </w:r>
      <w:r w:rsidR="00EB6333">
        <w:rPr>
          <w:sz w:val="26"/>
          <w:szCs w:val="26"/>
        </w:rPr>
        <w:t>in Appendix 1</w:t>
      </w:r>
      <w:r w:rsidR="00881365">
        <w:rPr>
          <w:sz w:val="26"/>
          <w:szCs w:val="26"/>
        </w:rPr>
        <w:t xml:space="preserve"> </w:t>
      </w:r>
      <w:r w:rsidRPr="00C54548">
        <w:rPr>
          <w:sz w:val="26"/>
          <w:szCs w:val="26"/>
        </w:rPr>
        <w:t xml:space="preserve">shows the </w:t>
      </w:r>
      <w:r w:rsidR="0084307E">
        <w:rPr>
          <w:sz w:val="26"/>
          <w:szCs w:val="26"/>
        </w:rPr>
        <w:t>analysis of this variance by area</w:t>
      </w:r>
      <w:r w:rsidRPr="00C54548">
        <w:rPr>
          <w:sz w:val="26"/>
          <w:szCs w:val="26"/>
        </w:rPr>
        <w:t xml:space="preserve"> </w:t>
      </w:r>
      <w:r w:rsidR="00906BCD">
        <w:rPr>
          <w:sz w:val="26"/>
          <w:szCs w:val="26"/>
        </w:rPr>
        <w:t xml:space="preserve">and </w:t>
      </w:r>
      <w:r w:rsidRPr="00C54548">
        <w:rPr>
          <w:sz w:val="26"/>
          <w:szCs w:val="26"/>
        </w:rPr>
        <w:t xml:space="preserve">the </w:t>
      </w:r>
      <w:r w:rsidR="00EB6333">
        <w:rPr>
          <w:sz w:val="26"/>
          <w:szCs w:val="26"/>
        </w:rPr>
        <w:t>following</w:t>
      </w:r>
      <w:r w:rsidRPr="00C54548">
        <w:rPr>
          <w:sz w:val="26"/>
          <w:szCs w:val="26"/>
        </w:rPr>
        <w:t xml:space="preserve"> paragraphs provide a brief narrative on the reasons for the</w:t>
      </w:r>
      <w:r w:rsidR="00881365">
        <w:rPr>
          <w:sz w:val="26"/>
          <w:szCs w:val="26"/>
        </w:rPr>
        <w:t>m</w:t>
      </w:r>
      <w:r w:rsidRPr="00C54548">
        <w:rPr>
          <w:sz w:val="26"/>
          <w:szCs w:val="26"/>
        </w:rPr>
        <w:t>.</w:t>
      </w:r>
      <w:r w:rsidRPr="00C54548" w:rsidR="008C1804">
        <w:rPr>
          <w:sz w:val="26"/>
          <w:szCs w:val="26"/>
        </w:rPr>
        <w:t xml:space="preserve">  </w:t>
      </w:r>
    </w:p>
    <w:p w:rsidR="00DF29D8" w:rsidP="00FB6B83" w:rsidRDefault="00DF29D8">
      <w:pPr>
        <w:pStyle w:val="Default"/>
        <w:rPr>
          <w:sz w:val="26"/>
          <w:szCs w:val="26"/>
        </w:rPr>
      </w:pPr>
    </w:p>
    <w:p w:rsidR="00F0215B" w:rsidP="00FB6B83" w:rsidRDefault="00DF29D8">
      <w:pPr>
        <w:pStyle w:val="Default"/>
        <w:rPr>
          <w:sz w:val="26"/>
          <w:szCs w:val="26"/>
        </w:rPr>
      </w:pPr>
      <w:r>
        <w:rPr>
          <w:sz w:val="26"/>
          <w:szCs w:val="26"/>
        </w:rPr>
        <w:t>Of th</w:t>
      </w:r>
      <w:r w:rsidR="00881365">
        <w:rPr>
          <w:sz w:val="26"/>
          <w:szCs w:val="26"/>
        </w:rPr>
        <w:t>e</w:t>
      </w:r>
      <w:r>
        <w:rPr>
          <w:sz w:val="26"/>
          <w:szCs w:val="26"/>
        </w:rPr>
        <w:t xml:space="preserve"> net </w:t>
      </w:r>
      <w:r w:rsidR="00EB6333">
        <w:rPr>
          <w:sz w:val="26"/>
          <w:szCs w:val="26"/>
        </w:rPr>
        <w:t>underspend</w:t>
      </w:r>
      <w:r>
        <w:rPr>
          <w:sz w:val="26"/>
          <w:szCs w:val="26"/>
        </w:rPr>
        <w:t xml:space="preserve">, </w:t>
      </w:r>
      <w:r w:rsidR="00C54548">
        <w:rPr>
          <w:sz w:val="26"/>
          <w:szCs w:val="26"/>
        </w:rPr>
        <w:t>£0.</w:t>
      </w:r>
      <w:r w:rsidR="00F0215B">
        <w:rPr>
          <w:sz w:val="26"/>
          <w:szCs w:val="26"/>
        </w:rPr>
        <w:t>24</w:t>
      </w:r>
      <w:r w:rsidR="00DA42BC">
        <w:rPr>
          <w:sz w:val="26"/>
          <w:szCs w:val="26"/>
        </w:rPr>
        <w:t>3</w:t>
      </w:r>
      <w:r w:rsidR="00C54548">
        <w:rPr>
          <w:sz w:val="26"/>
          <w:szCs w:val="26"/>
        </w:rPr>
        <w:t xml:space="preserve"> million</w:t>
      </w:r>
      <w:r w:rsidR="00EB6333">
        <w:rPr>
          <w:sz w:val="26"/>
          <w:szCs w:val="26"/>
        </w:rPr>
        <w:t xml:space="preserve"> overspend</w:t>
      </w:r>
      <w:r w:rsidR="00C54548">
        <w:rPr>
          <w:sz w:val="26"/>
          <w:szCs w:val="26"/>
        </w:rPr>
        <w:t xml:space="preserve"> </w:t>
      </w:r>
      <w:r w:rsidR="0084307E">
        <w:rPr>
          <w:sz w:val="26"/>
          <w:szCs w:val="26"/>
        </w:rPr>
        <w:t xml:space="preserve">is </w:t>
      </w:r>
      <w:r w:rsidR="00F0215B">
        <w:rPr>
          <w:sz w:val="26"/>
          <w:szCs w:val="26"/>
        </w:rPr>
        <w:t>projected on de-delegated budgets of mainstream schools</w:t>
      </w:r>
      <w:r w:rsidR="00881365">
        <w:rPr>
          <w:sz w:val="26"/>
          <w:szCs w:val="26"/>
        </w:rPr>
        <w:t xml:space="preserve">, </w:t>
      </w:r>
      <w:r w:rsidR="0084307E">
        <w:rPr>
          <w:sz w:val="26"/>
          <w:szCs w:val="26"/>
        </w:rPr>
        <w:t xml:space="preserve">due </w:t>
      </w:r>
      <w:r w:rsidR="00F0215B">
        <w:rPr>
          <w:sz w:val="26"/>
          <w:szCs w:val="26"/>
        </w:rPr>
        <w:t>mainly to overspend</w:t>
      </w:r>
      <w:r w:rsidR="00F43886">
        <w:rPr>
          <w:sz w:val="26"/>
          <w:szCs w:val="26"/>
        </w:rPr>
        <w:t>ing</w:t>
      </w:r>
      <w:r w:rsidR="00F0215B">
        <w:rPr>
          <w:sz w:val="26"/>
          <w:szCs w:val="26"/>
        </w:rPr>
        <w:t xml:space="preserve"> on Trade Union representation, insurance and contingency support to secondary schoo</w:t>
      </w:r>
      <w:r w:rsidR="00DA42BC">
        <w:rPr>
          <w:sz w:val="26"/>
          <w:szCs w:val="26"/>
        </w:rPr>
        <w:t>ls.  This is partly offset by a projected</w:t>
      </w:r>
      <w:r w:rsidR="00F0215B">
        <w:rPr>
          <w:sz w:val="26"/>
          <w:szCs w:val="26"/>
        </w:rPr>
        <w:t xml:space="preserve"> underspend </w:t>
      </w:r>
      <w:r w:rsidR="00F43886">
        <w:rPr>
          <w:sz w:val="26"/>
          <w:szCs w:val="26"/>
        </w:rPr>
        <w:t>for</w:t>
      </w:r>
      <w:r w:rsidR="00F0215B">
        <w:rPr>
          <w:sz w:val="26"/>
          <w:szCs w:val="26"/>
        </w:rPr>
        <w:t xml:space="preserve"> primary schools contingency.   It is intended that the School Forum be asked that any </w:t>
      </w:r>
      <w:r w:rsidR="00F43886">
        <w:rPr>
          <w:sz w:val="26"/>
          <w:szCs w:val="26"/>
        </w:rPr>
        <w:t xml:space="preserve">net </w:t>
      </w:r>
      <w:r w:rsidR="00F0215B">
        <w:rPr>
          <w:sz w:val="26"/>
          <w:szCs w:val="26"/>
        </w:rPr>
        <w:t>overspend</w:t>
      </w:r>
      <w:r w:rsidR="00F43886">
        <w:rPr>
          <w:sz w:val="26"/>
          <w:szCs w:val="26"/>
        </w:rPr>
        <w:t xml:space="preserve"> on these budgets</w:t>
      </w:r>
      <w:r w:rsidR="00F0215B">
        <w:rPr>
          <w:sz w:val="26"/>
          <w:szCs w:val="26"/>
        </w:rPr>
        <w:t xml:space="preserve"> be offset against the accumulated </w:t>
      </w:r>
      <w:r w:rsidR="00DA42BC">
        <w:rPr>
          <w:sz w:val="26"/>
          <w:szCs w:val="26"/>
        </w:rPr>
        <w:t>reserves</w:t>
      </w:r>
      <w:r w:rsidR="00F0215B">
        <w:rPr>
          <w:sz w:val="26"/>
          <w:szCs w:val="26"/>
        </w:rPr>
        <w:t xml:space="preserve"> </w:t>
      </w:r>
      <w:r w:rsidR="00DA42BC">
        <w:rPr>
          <w:sz w:val="26"/>
          <w:szCs w:val="26"/>
        </w:rPr>
        <w:t xml:space="preserve">from previous years’ </w:t>
      </w:r>
      <w:r w:rsidR="00F0215B">
        <w:rPr>
          <w:sz w:val="26"/>
          <w:szCs w:val="26"/>
        </w:rPr>
        <w:t>de-delegated budgets</w:t>
      </w:r>
      <w:r w:rsidR="00881365">
        <w:rPr>
          <w:sz w:val="26"/>
          <w:szCs w:val="26"/>
        </w:rPr>
        <w:t xml:space="preserve">, which </w:t>
      </w:r>
      <w:r w:rsidR="00DA42BC">
        <w:rPr>
          <w:sz w:val="26"/>
          <w:szCs w:val="26"/>
        </w:rPr>
        <w:t>currently</w:t>
      </w:r>
      <w:r w:rsidR="00F0215B">
        <w:rPr>
          <w:sz w:val="26"/>
          <w:szCs w:val="26"/>
        </w:rPr>
        <w:t xml:space="preserve"> </w:t>
      </w:r>
      <w:r w:rsidR="00881365">
        <w:rPr>
          <w:sz w:val="26"/>
          <w:szCs w:val="26"/>
        </w:rPr>
        <w:t xml:space="preserve">stand at </w:t>
      </w:r>
      <w:r w:rsidR="00F0215B">
        <w:rPr>
          <w:sz w:val="26"/>
          <w:szCs w:val="26"/>
        </w:rPr>
        <w:t>£0.859 million</w:t>
      </w:r>
      <w:r w:rsidR="00F43886">
        <w:rPr>
          <w:sz w:val="26"/>
          <w:szCs w:val="26"/>
        </w:rPr>
        <w:t>.</w:t>
      </w:r>
    </w:p>
    <w:p w:rsidR="00F0215B" w:rsidP="00FB6B83" w:rsidRDefault="00F0215B">
      <w:pPr>
        <w:pStyle w:val="Default"/>
        <w:rPr>
          <w:sz w:val="26"/>
          <w:szCs w:val="26"/>
        </w:rPr>
      </w:pPr>
    </w:p>
    <w:p w:rsidR="00F0215B" w:rsidP="00FB6B83" w:rsidRDefault="00F0215B">
      <w:pPr>
        <w:pStyle w:val="Default"/>
        <w:rPr>
          <w:sz w:val="26"/>
          <w:szCs w:val="26"/>
        </w:rPr>
      </w:pPr>
      <w:r>
        <w:rPr>
          <w:sz w:val="26"/>
          <w:szCs w:val="26"/>
        </w:rPr>
        <w:t>An underspend of £1.58</w:t>
      </w:r>
      <w:r w:rsidR="00DA42BC">
        <w:rPr>
          <w:sz w:val="26"/>
          <w:szCs w:val="26"/>
        </w:rPr>
        <w:t>5</w:t>
      </w:r>
      <w:r>
        <w:rPr>
          <w:sz w:val="26"/>
          <w:szCs w:val="26"/>
        </w:rPr>
        <w:t xml:space="preserve"> million is projected on Early Years block budgets of which £1.39</w:t>
      </w:r>
      <w:r w:rsidR="00DA42BC">
        <w:rPr>
          <w:sz w:val="26"/>
          <w:szCs w:val="26"/>
        </w:rPr>
        <w:t>5</w:t>
      </w:r>
      <w:r>
        <w:rPr>
          <w:sz w:val="26"/>
          <w:szCs w:val="26"/>
        </w:rPr>
        <w:t xml:space="preserve"> million</w:t>
      </w:r>
      <w:r w:rsidR="00F43886">
        <w:rPr>
          <w:sz w:val="26"/>
          <w:szCs w:val="26"/>
        </w:rPr>
        <w:t xml:space="preserve"> is the projected underspend on actual payments for hours attended to </w:t>
      </w:r>
      <w:r w:rsidR="00FB6B83">
        <w:rPr>
          <w:sz w:val="26"/>
          <w:szCs w:val="26"/>
        </w:rPr>
        <w:t>s</w:t>
      </w:r>
      <w:r w:rsidR="00F43886">
        <w:rPr>
          <w:sz w:val="26"/>
          <w:szCs w:val="26"/>
        </w:rPr>
        <w:t xml:space="preserve">chools, </w:t>
      </w:r>
      <w:r w:rsidR="00FB6B83">
        <w:rPr>
          <w:sz w:val="26"/>
          <w:szCs w:val="26"/>
        </w:rPr>
        <w:t>a</w:t>
      </w:r>
      <w:r w:rsidR="00F43886">
        <w:rPr>
          <w:sz w:val="26"/>
          <w:szCs w:val="26"/>
        </w:rPr>
        <w:t xml:space="preserve">cademies and PVI settings for 2, 3 and 4 year olds at those settings.  The DSG Early Years block allocation and budget has been set based on the DfE’s </w:t>
      </w:r>
      <w:r w:rsidR="00F43886">
        <w:rPr>
          <w:sz w:val="26"/>
          <w:szCs w:val="26"/>
        </w:rPr>
        <w:lastRenderedPageBreak/>
        <w:t>expected hours attended based on January 2015 and 2016 census data and an estimate of the take-up of the additional 15 hours available to working parents.  The DfE will recalculate the amount</w:t>
      </w:r>
      <w:r w:rsidR="00DA42BC">
        <w:rPr>
          <w:sz w:val="26"/>
          <w:szCs w:val="26"/>
        </w:rPr>
        <w:t xml:space="preserve"> of DSG</w:t>
      </w:r>
      <w:r w:rsidR="00F43886">
        <w:rPr>
          <w:sz w:val="26"/>
          <w:szCs w:val="26"/>
        </w:rPr>
        <w:t xml:space="preserve"> due to the Authority in July 2018 based on the January 2016 and January 2017 census data and there is likely to be a claw-back of </w:t>
      </w:r>
      <w:r w:rsidR="00DA42BC">
        <w:rPr>
          <w:sz w:val="26"/>
          <w:szCs w:val="26"/>
        </w:rPr>
        <w:t>this underspend</w:t>
      </w:r>
      <w:r w:rsidR="00B26D5B">
        <w:rPr>
          <w:sz w:val="26"/>
          <w:szCs w:val="26"/>
        </w:rPr>
        <w:t>.</w:t>
      </w:r>
    </w:p>
    <w:p w:rsidR="00F0215B" w:rsidP="00FB6B83" w:rsidRDefault="00F0215B">
      <w:pPr>
        <w:pStyle w:val="Default"/>
        <w:rPr>
          <w:sz w:val="26"/>
          <w:szCs w:val="26"/>
        </w:rPr>
      </w:pPr>
    </w:p>
    <w:p w:rsidR="00F0215B" w:rsidP="00FB6B83" w:rsidRDefault="00B26D5B">
      <w:pPr>
        <w:pStyle w:val="Default"/>
        <w:rPr>
          <w:sz w:val="26"/>
          <w:szCs w:val="26"/>
        </w:rPr>
      </w:pPr>
      <w:r>
        <w:rPr>
          <w:sz w:val="26"/>
          <w:szCs w:val="26"/>
        </w:rPr>
        <w:t>High Needs Block budgets are projected to overspend by £0.85</w:t>
      </w:r>
      <w:r w:rsidR="00DA42BC">
        <w:rPr>
          <w:sz w:val="26"/>
          <w:szCs w:val="26"/>
        </w:rPr>
        <w:t>6</w:t>
      </w:r>
      <w:r>
        <w:rPr>
          <w:sz w:val="26"/>
          <w:szCs w:val="26"/>
        </w:rPr>
        <w:t xml:space="preserve"> million.  Assuming that the majority of the Early Years block underspend is needed to meet any future DfE adjustment to the DSG in 2018-19, the residual projected </w:t>
      </w:r>
      <w:r w:rsidRPr="009C0669">
        <w:rPr>
          <w:sz w:val="26"/>
          <w:szCs w:val="26"/>
        </w:rPr>
        <w:t>overspend would have to be covered from the residual DSG balance which currently stands at £3.162 million.</w:t>
      </w:r>
    </w:p>
    <w:p w:rsidR="00F0215B" w:rsidP="00FB6B83" w:rsidRDefault="00F0215B">
      <w:pPr>
        <w:pStyle w:val="Default"/>
        <w:rPr>
          <w:sz w:val="26"/>
          <w:szCs w:val="26"/>
        </w:rPr>
      </w:pPr>
    </w:p>
    <w:p w:rsidR="00B26D5B" w:rsidP="00FB6B83" w:rsidRDefault="00B26D5B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The most significant area of overspend is on top-up payments for </w:t>
      </w:r>
      <w:r w:rsidR="00FB6B83">
        <w:rPr>
          <w:sz w:val="26"/>
          <w:szCs w:val="26"/>
        </w:rPr>
        <w:t>s</w:t>
      </w:r>
      <w:r>
        <w:rPr>
          <w:sz w:val="26"/>
          <w:szCs w:val="26"/>
        </w:rPr>
        <w:t xml:space="preserve">pecial </w:t>
      </w:r>
      <w:r w:rsidR="00FB6B83">
        <w:rPr>
          <w:sz w:val="26"/>
          <w:szCs w:val="26"/>
        </w:rPr>
        <w:t>s</w:t>
      </w:r>
      <w:r>
        <w:rPr>
          <w:sz w:val="26"/>
          <w:szCs w:val="26"/>
        </w:rPr>
        <w:t xml:space="preserve">chool placements provided by other </w:t>
      </w:r>
      <w:r w:rsidR="00FB6B83">
        <w:rPr>
          <w:sz w:val="26"/>
          <w:szCs w:val="26"/>
        </w:rPr>
        <w:t>l</w:t>
      </w:r>
      <w:r>
        <w:rPr>
          <w:sz w:val="26"/>
          <w:szCs w:val="26"/>
        </w:rPr>
        <w:t xml:space="preserve">ocal </w:t>
      </w:r>
      <w:r w:rsidR="00FB6B83">
        <w:rPr>
          <w:sz w:val="26"/>
          <w:szCs w:val="26"/>
        </w:rPr>
        <w:t>a</w:t>
      </w:r>
      <w:r>
        <w:rPr>
          <w:sz w:val="26"/>
          <w:szCs w:val="26"/>
        </w:rPr>
        <w:t xml:space="preserve">uthorities and </w:t>
      </w:r>
      <w:r w:rsidR="00FB6B83">
        <w:rPr>
          <w:sz w:val="26"/>
          <w:szCs w:val="26"/>
        </w:rPr>
        <w:t>i</w:t>
      </w:r>
      <w:r>
        <w:rPr>
          <w:sz w:val="26"/>
          <w:szCs w:val="26"/>
        </w:rPr>
        <w:t xml:space="preserve">ndependent and </w:t>
      </w:r>
      <w:r w:rsidR="00FB6B83">
        <w:rPr>
          <w:sz w:val="26"/>
          <w:szCs w:val="26"/>
        </w:rPr>
        <w:t>n</w:t>
      </w:r>
      <w:r>
        <w:rPr>
          <w:sz w:val="26"/>
          <w:szCs w:val="26"/>
        </w:rPr>
        <w:t>on-</w:t>
      </w:r>
      <w:r w:rsidR="00FB6B83">
        <w:rPr>
          <w:sz w:val="26"/>
          <w:szCs w:val="26"/>
        </w:rPr>
        <w:t>m</w:t>
      </w:r>
      <w:r>
        <w:rPr>
          <w:sz w:val="26"/>
          <w:szCs w:val="26"/>
        </w:rPr>
        <w:t>aintained schools.  Projected expenditure is £8.879 million</w:t>
      </w:r>
      <w:r w:rsidR="00395A81">
        <w:rPr>
          <w:sz w:val="26"/>
          <w:szCs w:val="26"/>
        </w:rPr>
        <w:t xml:space="preserve"> and reflects that expenditure on places at independent and non-maintained schools has been growing by 5.4% per year on average over the last four years and expenditure on top-ups at oth</w:t>
      </w:r>
      <w:bookmarkStart w:name="_GoBack" w:id="0"/>
      <w:bookmarkEnd w:id="0"/>
      <w:r w:rsidR="00395A81">
        <w:rPr>
          <w:sz w:val="26"/>
          <w:szCs w:val="26"/>
        </w:rPr>
        <w:t xml:space="preserve">er </w:t>
      </w:r>
      <w:r w:rsidR="00881365">
        <w:rPr>
          <w:sz w:val="26"/>
          <w:szCs w:val="26"/>
        </w:rPr>
        <w:t>l</w:t>
      </w:r>
      <w:r w:rsidR="00395A81">
        <w:rPr>
          <w:sz w:val="26"/>
          <w:szCs w:val="26"/>
        </w:rPr>
        <w:t xml:space="preserve">ocal </w:t>
      </w:r>
      <w:r w:rsidR="00881365">
        <w:rPr>
          <w:sz w:val="26"/>
          <w:szCs w:val="26"/>
        </w:rPr>
        <w:t>a</w:t>
      </w:r>
      <w:r w:rsidR="00395A81">
        <w:rPr>
          <w:sz w:val="26"/>
          <w:szCs w:val="26"/>
        </w:rPr>
        <w:t xml:space="preserve">uthority </w:t>
      </w:r>
      <w:r w:rsidR="00881365">
        <w:rPr>
          <w:sz w:val="26"/>
          <w:szCs w:val="26"/>
        </w:rPr>
        <w:t>s</w:t>
      </w:r>
      <w:r w:rsidR="00395A81">
        <w:rPr>
          <w:sz w:val="26"/>
          <w:szCs w:val="26"/>
        </w:rPr>
        <w:t xml:space="preserve">pecial </w:t>
      </w:r>
      <w:r w:rsidR="00881365">
        <w:rPr>
          <w:sz w:val="26"/>
          <w:szCs w:val="26"/>
        </w:rPr>
        <w:t>s</w:t>
      </w:r>
      <w:r w:rsidR="00395A81">
        <w:rPr>
          <w:sz w:val="26"/>
          <w:szCs w:val="26"/>
        </w:rPr>
        <w:t>chools has increased by almost 28% per year on average over the last four years.</w:t>
      </w:r>
    </w:p>
    <w:p w:rsidR="00B26D5B" w:rsidP="00FB6B83" w:rsidRDefault="00B26D5B">
      <w:pPr>
        <w:pStyle w:val="Default"/>
        <w:rPr>
          <w:sz w:val="26"/>
          <w:szCs w:val="26"/>
        </w:rPr>
      </w:pPr>
    </w:p>
    <w:p w:rsidR="00843F81" w:rsidP="00FB6B83" w:rsidRDefault="00843F81">
      <w:pPr>
        <w:pStyle w:val="Default"/>
        <w:rPr>
          <w:sz w:val="26"/>
          <w:szCs w:val="26"/>
        </w:rPr>
      </w:pPr>
      <w:r w:rsidRPr="00EB6333">
        <w:rPr>
          <w:sz w:val="26"/>
          <w:szCs w:val="26"/>
        </w:rPr>
        <w:t>In addition, post 16 top-ups are also projected to overspend by £0.471 million</w:t>
      </w:r>
      <w:r w:rsidRPr="00EB6333" w:rsidR="0058177B">
        <w:rPr>
          <w:sz w:val="26"/>
          <w:szCs w:val="26"/>
        </w:rPr>
        <w:t xml:space="preserve">.  The overspend is mainly on the top-ups paid to </w:t>
      </w:r>
      <w:r w:rsidR="00881365">
        <w:rPr>
          <w:sz w:val="26"/>
          <w:szCs w:val="26"/>
        </w:rPr>
        <w:t>f</w:t>
      </w:r>
      <w:r w:rsidRPr="00EB6333" w:rsidR="0058177B">
        <w:rPr>
          <w:sz w:val="26"/>
          <w:szCs w:val="26"/>
        </w:rPr>
        <w:t xml:space="preserve">urther </w:t>
      </w:r>
      <w:r w:rsidR="00881365">
        <w:rPr>
          <w:sz w:val="26"/>
          <w:szCs w:val="26"/>
        </w:rPr>
        <w:t>e</w:t>
      </w:r>
      <w:r w:rsidRPr="00EB6333" w:rsidR="0058177B">
        <w:rPr>
          <w:sz w:val="26"/>
          <w:szCs w:val="26"/>
        </w:rPr>
        <w:t xml:space="preserve">ducation colleges </w:t>
      </w:r>
      <w:r w:rsidRPr="00EB6333" w:rsidR="00EB6333">
        <w:rPr>
          <w:sz w:val="26"/>
          <w:szCs w:val="26"/>
        </w:rPr>
        <w:t>and relates to additional places at Derby College for 2016-17 and 2017-18 which were not agreed by the college with the Authority until 2017-18.</w:t>
      </w:r>
    </w:p>
    <w:p w:rsidRPr="002D5DAA" w:rsidR="00AC14ED" w:rsidP="00463296" w:rsidRDefault="00AC14ED">
      <w:pPr>
        <w:pStyle w:val="Default"/>
        <w:ind w:left="720" w:hanging="720"/>
        <w:jc w:val="both"/>
        <w:rPr>
          <w:sz w:val="26"/>
          <w:szCs w:val="26"/>
        </w:rPr>
      </w:pPr>
    </w:p>
    <w:p w:rsidRPr="002D5DAA" w:rsidR="001E62B3" w:rsidP="001E62B3" w:rsidRDefault="001E62B3">
      <w:pPr>
        <w:pStyle w:val="Default"/>
        <w:ind w:left="720" w:hanging="720"/>
        <w:jc w:val="both"/>
        <w:rPr>
          <w:b/>
          <w:bCs/>
          <w:color w:val="auto"/>
          <w:sz w:val="26"/>
          <w:szCs w:val="26"/>
        </w:rPr>
      </w:pPr>
      <w:r w:rsidRPr="002D5DAA">
        <w:rPr>
          <w:rFonts w:cs="Times New Roman"/>
          <w:b/>
          <w:color w:val="auto"/>
          <w:sz w:val="26"/>
          <w:szCs w:val="26"/>
        </w:rPr>
        <w:t>3.</w:t>
      </w:r>
      <w:r w:rsidRPr="002D5DAA">
        <w:rPr>
          <w:rFonts w:cs="Times New Roman"/>
          <w:b/>
          <w:color w:val="auto"/>
          <w:sz w:val="26"/>
          <w:szCs w:val="26"/>
        </w:rPr>
        <w:tab/>
      </w:r>
      <w:r w:rsidRPr="00A017AB">
        <w:rPr>
          <w:rFonts w:cs="Times New Roman"/>
          <w:b/>
          <w:color w:val="auto"/>
          <w:sz w:val="26"/>
          <w:szCs w:val="26"/>
          <w:u w:val="single"/>
        </w:rPr>
        <w:t>Other Considerations</w:t>
      </w:r>
    </w:p>
    <w:p w:rsidR="001E62B3" w:rsidP="00A229D1" w:rsidRDefault="001E62B3">
      <w:pPr>
        <w:pStyle w:val="Default"/>
        <w:ind w:left="720" w:hanging="720"/>
        <w:jc w:val="both"/>
        <w:rPr>
          <w:rFonts w:cs="Times New Roman"/>
          <w:b/>
          <w:color w:val="auto"/>
          <w:sz w:val="26"/>
          <w:szCs w:val="26"/>
        </w:rPr>
      </w:pPr>
    </w:p>
    <w:p w:rsidRPr="001E62B3" w:rsidR="001E62B3" w:rsidP="009538A8" w:rsidRDefault="001E62B3">
      <w:pPr>
        <w:pStyle w:val="Default"/>
        <w:ind w:hanging="720"/>
        <w:rPr>
          <w:rFonts w:cs="Times New Roman"/>
          <w:color w:val="auto"/>
          <w:sz w:val="26"/>
          <w:szCs w:val="26"/>
        </w:rPr>
      </w:pPr>
      <w:r>
        <w:rPr>
          <w:rFonts w:cs="Times New Roman"/>
          <w:b/>
          <w:color w:val="auto"/>
          <w:sz w:val="26"/>
          <w:szCs w:val="26"/>
        </w:rPr>
        <w:tab/>
      </w:r>
      <w:r w:rsidRPr="001E62B3">
        <w:rPr>
          <w:rFonts w:cs="Times New Roman"/>
          <w:color w:val="auto"/>
          <w:sz w:val="26"/>
          <w:szCs w:val="26"/>
        </w:rPr>
        <w:t>In preparing this report the relevance of the following factors has been considered – legal and human rights, human resources, equality and diversity, health, environmental, social value, transport, property and prevention of crime and disorder.</w:t>
      </w:r>
    </w:p>
    <w:p w:rsidR="00A30AEA" w:rsidP="00A229D1" w:rsidRDefault="00A30AEA">
      <w:pPr>
        <w:pStyle w:val="Default"/>
        <w:ind w:left="720" w:hanging="720"/>
        <w:jc w:val="both"/>
        <w:rPr>
          <w:rFonts w:cs="Times New Roman"/>
          <w:b/>
          <w:color w:val="auto"/>
          <w:sz w:val="26"/>
          <w:szCs w:val="26"/>
        </w:rPr>
      </w:pPr>
    </w:p>
    <w:p w:rsidRPr="002D5DAA" w:rsidR="00A229D1" w:rsidP="00A229D1" w:rsidRDefault="001E62B3">
      <w:pPr>
        <w:pStyle w:val="Default"/>
        <w:ind w:left="720" w:hanging="720"/>
        <w:jc w:val="both"/>
        <w:rPr>
          <w:b/>
          <w:bCs/>
          <w:color w:val="auto"/>
          <w:sz w:val="26"/>
          <w:szCs w:val="26"/>
        </w:rPr>
      </w:pPr>
      <w:r>
        <w:rPr>
          <w:rFonts w:cs="Times New Roman"/>
          <w:b/>
          <w:color w:val="auto"/>
          <w:sz w:val="26"/>
          <w:szCs w:val="26"/>
        </w:rPr>
        <w:t>4</w:t>
      </w:r>
      <w:r w:rsidRPr="002D5DAA" w:rsidR="00A229D1">
        <w:rPr>
          <w:rFonts w:cs="Times New Roman"/>
          <w:b/>
          <w:color w:val="auto"/>
          <w:sz w:val="26"/>
          <w:szCs w:val="26"/>
        </w:rPr>
        <w:t>.</w:t>
      </w:r>
      <w:r w:rsidRPr="002D5DAA" w:rsidR="00A229D1">
        <w:rPr>
          <w:rFonts w:cs="Times New Roman"/>
          <w:b/>
          <w:color w:val="auto"/>
          <w:sz w:val="26"/>
          <w:szCs w:val="26"/>
        </w:rPr>
        <w:tab/>
      </w:r>
      <w:r w:rsidRPr="00A017AB" w:rsidR="00A229D1">
        <w:rPr>
          <w:b/>
          <w:bCs/>
          <w:color w:val="auto"/>
          <w:sz w:val="26"/>
          <w:szCs w:val="26"/>
          <w:u w:val="single"/>
        </w:rPr>
        <w:t>Background Papers</w:t>
      </w:r>
    </w:p>
    <w:p w:rsidRPr="002D5DAA" w:rsidR="00A229D1" w:rsidP="00A229D1" w:rsidRDefault="00A229D1">
      <w:pPr>
        <w:pStyle w:val="Default"/>
        <w:ind w:left="720" w:hanging="720"/>
        <w:jc w:val="both"/>
        <w:rPr>
          <w:color w:val="auto"/>
          <w:sz w:val="26"/>
          <w:szCs w:val="26"/>
        </w:rPr>
      </w:pPr>
      <w:r w:rsidRPr="002D5DAA">
        <w:rPr>
          <w:b/>
          <w:bCs/>
          <w:color w:val="auto"/>
          <w:sz w:val="26"/>
          <w:szCs w:val="26"/>
        </w:rPr>
        <w:t xml:space="preserve"> </w:t>
      </w:r>
    </w:p>
    <w:p w:rsidR="00A229D1" w:rsidP="00A017AB" w:rsidRDefault="00A229D1">
      <w:pPr>
        <w:pStyle w:val="Default"/>
        <w:jc w:val="both"/>
        <w:rPr>
          <w:color w:val="auto"/>
          <w:sz w:val="26"/>
          <w:szCs w:val="26"/>
        </w:rPr>
      </w:pPr>
      <w:r w:rsidRPr="002D5DAA">
        <w:rPr>
          <w:color w:val="auto"/>
          <w:sz w:val="26"/>
          <w:szCs w:val="26"/>
        </w:rPr>
        <w:t xml:space="preserve">Files held in </w:t>
      </w:r>
      <w:r w:rsidRPr="002D5DAA" w:rsidR="00AC4B38">
        <w:rPr>
          <w:color w:val="auto"/>
          <w:sz w:val="26"/>
          <w:szCs w:val="26"/>
        </w:rPr>
        <w:t>C</w:t>
      </w:r>
      <w:r w:rsidRPr="002D5DAA" w:rsidR="002D5DAA">
        <w:rPr>
          <w:color w:val="auto"/>
          <w:sz w:val="26"/>
          <w:szCs w:val="26"/>
        </w:rPr>
        <w:t xml:space="preserve">hildren’s Services </w:t>
      </w:r>
      <w:r w:rsidRPr="002D5DAA" w:rsidR="00A54603">
        <w:rPr>
          <w:color w:val="auto"/>
          <w:sz w:val="26"/>
          <w:szCs w:val="26"/>
        </w:rPr>
        <w:t>Finance</w:t>
      </w:r>
      <w:r w:rsidRPr="002D5DAA">
        <w:rPr>
          <w:color w:val="auto"/>
          <w:sz w:val="26"/>
          <w:szCs w:val="26"/>
        </w:rPr>
        <w:t xml:space="preserve"> - Accountancy section. </w:t>
      </w:r>
    </w:p>
    <w:p w:rsidRPr="002D5DAA" w:rsidR="00AE22B8" w:rsidP="00A017AB" w:rsidRDefault="00AE22B8">
      <w:pPr>
        <w:pStyle w:val="Default"/>
        <w:jc w:val="both"/>
        <w:rPr>
          <w:color w:val="auto"/>
          <w:sz w:val="26"/>
          <w:szCs w:val="26"/>
        </w:rPr>
      </w:pPr>
    </w:p>
    <w:p w:rsidRPr="002D5DAA" w:rsidR="00A229D1" w:rsidP="00A229D1" w:rsidRDefault="00290D3B">
      <w:pPr>
        <w:pStyle w:val="Default"/>
        <w:ind w:left="720" w:hanging="720"/>
        <w:jc w:val="both"/>
        <w:rPr>
          <w:b/>
          <w:bCs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5</w:t>
      </w:r>
      <w:r w:rsidRPr="002D5DAA" w:rsidR="00A229D1">
        <w:rPr>
          <w:b/>
          <w:color w:val="auto"/>
          <w:sz w:val="26"/>
          <w:szCs w:val="26"/>
        </w:rPr>
        <w:t>.</w:t>
      </w:r>
      <w:r w:rsidRPr="002D5DAA" w:rsidR="00A229D1">
        <w:rPr>
          <w:color w:val="auto"/>
          <w:sz w:val="26"/>
          <w:szCs w:val="26"/>
        </w:rPr>
        <w:t xml:space="preserve"> </w:t>
      </w:r>
      <w:r w:rsidRPr="002D5DAA" w:rsidR="00A229D1">
        <w:rPr>
          <w:color w:val="auto"/>
          <w:sz w:val="26"/>
          <w:szCs w:val="26"/>
        </w:rPr>
        <w:tab/>
      </w:r>
      <w:r w:rsidRPr="002D5DAA" w:rsidR="00A229D1">
        <w:rPr>
          <w:b/>
          <w:bCs/>
          <w:color w:val="auto"/>
          <w:sz w:val="26"/>
          <w:szCs w:val="26"/>
        </w:rPr>
        <w:t>OFFICER RECOMMENDATIONS</w:t>
      </w:r>
    </w:p>
    <w:p w:rsidR="00A229D1" w:rsidP="00A229D1" w:rsidRDefault="00A229D1">
      <w:pPr>
        <w:pStyle w:val="Default"/>
        <w:ind w:left="720" w:hanging="720"/>
        <w:jc w:val="both"/>
        <w:rPr>
          <w:color w:val="auto"/>
          <w:sz w:val="26"/>
          <w:szCs w:val="26"/>
        </w:rPr>
      </w:pPr>
    </w:p>
    <w:p w:rsidR="00D925E1" w:rsidP="00AA47AB" w:rsidRDefault="00A017AB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The Schools Forum is asked to</w:t>
      </w:r>
      <w:r w:rsidR="00AA47AB">
        <w:rPr>
          <w:color w:val="auto"/>
          <w:sz w:val="26"/>
          <w:szCs w:val="26"/>
        </w:rPr>
        <w:t xml:space="preserve"> n</w:t>
      </w:r>
      <w:r w:rsidRPr="00AA47AB">
        <w:rPr>
          <w:color w:val="auto"/>
          <w:sz w:val="26"/>
          <w:szCs w:val="26"/>
        </w:rPr>
        <w:t xml:space="preserve">ote the </w:t>
      </w:r>
      <w:r w:rsidRPr="00AA47AB" w:rsidR="008810BB">
        <w:rPr>
          <w:color w:val="auto"/>
          <w:sz w:val="26"/>
          <w:szCs w:val="26"/>
        </w:rPr>
        <w:t>latest projected</w:t>
      </w:r>
      <w:r w:rsidRPr="00AA47AB">
        <w:rPr>
          <w:color w:val="auto"/>
          <w:sz w:val="26"/>
          <w:szCs w:val="26"/>
        </w:rPr>
        <w:t xml:space="preserve"> outturn of the 201</w:t>
      </w:r>
      <w:r w:rsidRPr="00AA47AB" w:rsidR="008810BB">
        <w:rPr>
          <w:color w:val="auto"/>
          <w:sz w:val="26"/>
          <w:szCs w:val="26"/>
        </w:rPr>
        <w:t>7</w:t>
      </w:r>
      <w:r w:rsidRPr="00AA47AB" w:rsidR="009538A8">
        <w:rPr>
          <w:color w:val="auto"/>
          <w:sz w:val="26"/>
          <w:szCs w:val="26"/>
        </w:rPr>
        <w:t>-</w:t>
      </w:r>
      <w:r w:rsidRPr="00AA47AB">
        <w:rPr>
          <w:color w:val="auto"/>
          <w:sz w:val="26"/>
          <w:szCs w:val="26"/>
        </w:rPr>
        <w:t>1</w:t>
      </w:r>
      <w:r w:rsidRPr="00AA47AB" w:rsidR="008810BB">
        <w:rPr>
          <w:color w:val="auto"/>
          <w:sz w:val="26"/>
          <w:szCs w:val="26"/>
        </w:rPr>
        <w:t>8</w:t>
      </w:r>
      <w:r w:rsidRPr="00AA47AB">
        <w:rPr>
          <w:color w:val="auto"/>
          <w:sz w:val="26"/>
          <w:szCs w:val="26"/>
        </w:rPr>
        <w:t xml:space="preserve"> Dedicated Schools Grant</w:t>
      </w:r>
      <w:r w:rsidRPr="00AA47AB" w:rsidR="00AA47AB">
        <w:rPr>
          <w:color w:val="auto"/>
          <w:sz w:val="26"/>
          <w:szCs w:val="26"/>
        </w:rPr>
        <w:t>.</w:t>
      </w:r>
    </w:p>
    <w:p w:rsidRPr="00AA47AB" w:rsidR="00AA47AB" w:rsidP="00AA47AB" w:rsidRDefault="00AA47AB">
      <w:pPr>
        <w:pStyle w:val="Default"/>
        <w:jc w:val="both"/>
        <w:rPr>
          <w:color w:val="auto"/>
          <w:sz w:val="26"/>
          <w:szCs w:val="26"/>
        </w:rPr>
      </w:pPr>
    </w:p>
    <w:p w:rsidRPr="002D5DAA" w:rsidR="0091627A" w:rsidP="00A229D1" w:rsidRDefault="0091627A">
      <w:pPr>
        <w:pStyle w:val="Default"/>
        <w:ind w:left="720"/>
        <w:jc w:val="both"/>
        <w:rPr>
          <w:color w:val="auto"/>
          <w:sz w:val="26"/>
          <w:szCs w:val="26"/>
        </w:rPr>
      </w:pPr>
    </w:p>
    <w:p w:rsidRPr="002D5DAA" w:rsidR="00A229D1" w:rsidP="00AB2D4E" w:rsidRDefault="002D5DAA">
      <w:pPr>
        <w:pStyle w:val="Default"/>
        <w:ind w:left="720"/>
        <w:jc w:val="center"/>
        <w:rPr>
          <w:b/>
          <w:color w:val="auto"/>
          <w:sz w:val="26"/>
          <w:szCs w:val="26"/>
        </w:rPr>
      </w:pPr>
      <w:r w:rsidRPr="002D5DAA">
        <w:rPr>
          <w:b/>
          <w:color w:val="auto"/>
          <w:sz w:val="26"/>
          <w:szCs w:val="26"/>
        </w:rPr>
        <w:t>JANE PARFREMENT</w:t>
      </w:r>
    </w:p>
    <w:p w:rsidRPr="002D5DAA" w:rsidR="00A229D1" w:rsidP="00AB2D4E" w:rsidRDefault="00D4725A">
      <w:pPr>
        <w:pStyle w:val="Default"/>
        <w:ind w:left="720"/>
        <w:jc w:val="center"/>
        <w:rPr>
          <w:color w:val="auto"/>
          <w:sz w:val="26"/>
          <w:szCs w:val="26"/>
        </w:rPr>
      </w:pPr>
      <w:r w:rsidRPr="002D5DAA">
        <w:rPr>
          <w:b/>
          <w:color w:val="auto"/>
          <w:sz w:val="26"/>
          <w:szCs w:val="26"/>
        </w:rPr>
        <w:t>Strategic Director</w:t>
      </w:r>
      <w:r w:rsidR="00AB2D4E">
        <w:rPr>
          <w:b/>
          <w:color w:val="auto"/>
          <w:sz w:val="26"/>
          <w:szCs w:val="26"/>
        </w:rPr>
        <w:t xml:space="preserve"> for </w:t>
      </w:r>
      <w:r w:rsidRPr="002D5DAA" w:rsidR="00A229D1">
        <w:rPr>
          <w:b/>
          <w:color w:val="auto"/>
          <w:sz w:val="26"/>
          <w:szCs w:val="26"/>
        </w:rPr>
        <w:t>Children</w:t>
      </w:r>
      <w:r w:rsidRPr="002D5DAA" w:rsidR="002D5DAA">
        <w:rPr>
          <w:b/>
          <w:color w:val="auto"/>
          <w:sz w:val="26"/>
          <w:szCs w:val="26"/>
        </w:rPr>
        <w:t>’s Services</w:t>
      </w:r>
    </w:p>
    <w:p w:rsidRPr="002D5DAA" w:rsidR="00A229D1" w:rsidP="00A229D1" w:rsidRDefault="00A229D1">
      <w:pPr>
        <w:pStyle w:val="Default"/>
        <w:ind w:left="720"/>
        <w:jc w:val="both"/>
        <w:rPr>
          <w:color w:val="auto"/>
          <w:sz w:val="26"/>
          <w:szCs w:val="26"/>
        </w:rPr>
      </w:pPr>
    </w:p>
    <w:p w:rsidRPr="002D5DAA" w:rsidR="00A229D1" w:rsidP="005D0B7C" w:rsidRDefault="00A229D1">
      <w:pPr>
        <w:pStyle w:val="Default"/>
        <w:jc w:val="center"/>
        <w:rPr>
          <w:color w:val="auto"/>
          <w:sz w:val="26"/>
          <w:szCs w:val="26"/>
        </w:rPr>
      </w:pPr>
      <w:r w:rsidRPr="002D5DAA">
        <w:rPr>
          <w:color w:val="auto"/>
          <w:sz w:val="26"/>
          <w:szCs w:val="26"/>
        </w:rPr>
        <w:t>County Hall</w:t>
      </w:r>
    </w:p>
    <w:p w:rsidRPr="002D5DAA" w:rsidR="00A229D1" w:rsidP="005D0B7C" w:rsidRDefault="00A229D1">
      <w:pPr>
        <w:pStyle w:val="Default"/>
        <w:jc w:val="center"/>
        <w:rPr>
          <w:color w:val="auto"/>
          <w:sz w:val="26"/>
          <w:szCs w:val="26"/>
        </w:rPr>
      </w:pPr>
      <w:r w:rsidRPr="002D5DAA">
        <w:rPr>
          <w:color w:val="auto"/>
          <w:sz w:val="26"/>
          <w:szCs w:val="26"/>
        </w:rPr>
        <w:t>MATLOCK</w:t>
      </w:r>
    </w:p>
    <w:p w:rsidR="0058381C" w:rsidRDefault="0058381C">
      <w:pPr>
        <w:rPr>
          <w:rFonts w:cs="Arial"/>
          <w:b/>
          <w:szCs w:val="26"/>
        </w:rPr>
      </w:pPr>
    </w:p>
    <w:p w:rsidR="00DA42BC" w:rsidRDefault="00DA42BC">
      <w:pPr>
        <w:rPr>
          <w:b/>
          <w:noProof/>
        </w:rPr>
      </w:pPr>
      <w:r>
        <w:rPr>
          <w:noProof/>
        </w:rPr>
        <w:br w:type="page"/>
      </w:r>
    </w:p>
    <w:p w:rsidR="001E43A5" w:rsidP="00DA42BC" w:rsidRDefault="00DA42BC">
      <w:pPr>
        <w:pStyle w:val="Title"/>
        <w:spacing w:line="240" w:lineRule="auto"/>
        <w:ind w:left="-181"/>
        <w:jc w:val="right"/>
        <w:rPr>
          <w:noProof/>
        </w:rPr>
      </w:pPr>
      <w:r>
        <w:rPr>
          <w:noProof/>
        </w:rPr>
        <w:lastRenderedPageBreak/>
        <w:t>Appendix 1</w:t>
      </w:r>
    </w:p>
    <w:p w:rsidR="00DA42BC" w:rsidP="001E43A5" w:rsidRDefault="00DA42BC">
      <w:pPr>
        <w:pStyle w:val="Title"/>
        <w:spacing w:line="240" w:lineRule="auto"/>
        <w:ind w:left="-181"/>
        <w:jc w:val="left"/>
        <w:rPr>
          <w:noProof/>
        </w:rPr>
      </w:pPr>
    </w:p>
    <w:p w:rsidR="00DA42BC" w:rsidP="001E43A5" w:rsidRDefault="00DA42BC">
      <w:pPr>
        <w:pStyle w:val="Title"/>
        <w:spacing w:line="240" w:lineRule="auto"/>
        <w:ind w:left="-181"/>
        <w:jc w:val="left"/>
        <w:rPr>
          <w:noProof/>
        </w:rPr>
      </w:pPr>
    </w:p>
    <w:p w:rsidR="00DA42BC" w:rsidP="001E43A5" w:rsidRDefault="00DA42BC">
      <w:pPr>
        <w:pStyle w:val="Title"/>
        <w:spacing w:line="240" w:lineRule="auto"/>
        <w:ind w:left="-181"/>
        <w:jc w:val="left"/>
        <w:rPr>
          <w:noProof/>
        </w:rPr>
      </w:pPr>
    </w:p>
    <w:p w:rsidR="00DA42BC" w:rsidP="001E43A5" w:rsidRDefault="00DA42BC">
      <w:pPr>
        <w:pStyle w:val="Title"/>
        <w:spacing w:line="240" w:lineRule="auto"/>
        <w:ind w:left="-181"/>
        <w:jc w:val="left"/>
        <w:rPr>
          <w:noProof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1"/>
        <w:gridCol w:w="1746"/>
        <w:gridCol w:w="1892"/>
        <w:gridCol w:w="1615"/>
      </w:tblGrid>
      <w:tr w:rsidRPr="008810BB" w:rsidR="00DA42BC" w:rsidTr="00613919">
        <w:trPr>
          <w:cantSplit/>
          <w:trHeight w:val="660"/>
          <w:tblHeader/>
        </w:trPr>
        <w:tc>
          <w:tcPr>
            <w:tcW w:w="2385" w:type="pc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 </w:t>
            </w:r>
          </w:p>
        </w:tc>
        <w:tc>
          <w:tcPr>
            <w:tcW w:w="869" w:type="pct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="00DA42BC" w:rsidP="00613919" w:rsidRDefault="00DA42BC">
            <w:pPr>
              <w:jc w:val="right"/>
              <w:rPr>
                <w:rFonts w:cs="Arial"/>
                <w:b/>
                <w:bCs/>
                <w:color w:val="000000"/>
                <w:szCs w:val="26"/>
              </w:rPr>
            </w:pPr>
            <w:r w:rsidRPr="008810BB">
              <w:rPr>
                <w:rFonts w:cs="Arial"/>
                <w:b/>
                <w:bCs/>
                <w:color w:val="000000"/>
                <w:szCs w:val="26"/>
              </w:rPr>
              <w:t>Allocated Resources</w:t>
            </w:r>
          </w:p>
          <w:p w:rsidRPr="008810BB" w:rsidR="00DA42BC" w:rsidP="00613919" w:rsidRDefault="00DA42BC">
            <w:pPr>
              <w:jc w:val="right"/>
              <w:rPr>
                <w:rFonts w:cs="Arial"/>
                <w:b/>
                <w:bCs/>
                <w:color w:val="000000"/>
                <w:szCs w:val="26"/>
              </w:rPr>
            </w:pPr>
            <w:r>
              <w:rPr>
                <w:rFonts w:cs="Arial"/>
                <w:b/>
                <w:bCs/>
                <w:color w:val="000000"/>
                <w:szCs w:val="26"/>
              </w:rPr>
              <w:t>£ million</w:t>
            </w:r>
          </w:p>
        </w:tc>
        <w:tc>
          <w:tcPr>
            <w:tcW w:w="942" w:type="pct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="00DA42BC" w:rsidP="00613919" w:rsidRDefault="00DA42BC">
            <w:pPr>
              <w:jc w:val="right"/>
              <w:rPr>
                <w:rFonts w:cs="Arial"/>
                <w:b/>
                <w:bCs/>
                <w:color w:val="000000"/>
                <w:szCs w:val="26"/>
              </w:rPr>
            </w:pPr>
            <w:r w:rsidRPr="008810BB">
              <w:rPr>
                <w:rFonts w:cs="Arial"/>
                <w:b/>
                <w:bCs/>
                <w:color w:val="000000"/>
                <w:szCs w:val="26"/>
              </w:rPr>
              <w:t>Expenditure/ (Income)</w:t>
            </w:r>
          </w:p>
          <w:p w:rsidRPr="008810BB" w:rsidR="00DA42BC" w:rsidP="00613919" w:rsidRDefault="00DA42BC">
            <w:pPr>
              <w:jc w:val="right"/>
              <w:rPr>
                <w:rFonts w:cs="Arial"/>
                <w:b/>
                <w:bCs/>
                <w:color w:val="000000"/>
                <w:szCs w:val="26"/>
              </w:rPr>
            </w:pPr>
            <w:r>
              <w:rPr>
                <w:rFonts w:cs="Arial"/>
                <w:b/>
                <w:bCs/>
                <w:color w:val="000000"/>
                <w:szCs w:val="26"/>
              </w:rPr>
              <w:t>£ million</w:t>
            </w:r>
          </w:p>
        </w:tc>
        <w:tc>
          <w:tcPr>
            <w:tcW w:w="804" w:type="pct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  <w:hideMark/>
          </w:tcPr>
          <w:p w:rsidR="00DA42BC" w:rsidP="00613919" w:rsidRDefault="00DA42BC">
            <w:pPr>
              <w:jc w:val="right"/>
              <w:rPr>
                <w:rFonts w:cs="Arial"/>
                <w:b/>
                <w:bCs/>
                <w:color w:val="000000"/>
                <w:szCs w:val="26"/>
              </w:rPr>
            </w:pPr>
            <w:r w:rsidRPr="008810BB">
              <w:rPr>
                <w:rFonts w:cs="Arial"/>
                <w:b/>
                <w:bCs/>
                <w:color w:val="000000"/>
                <w:szCs w:val="26"/>
              </w:rPr>
              <w:t>(Under)/</w:t>
            </w:r>
            <w:r>
              <w:rPr>
                <w:rFonts w:cs="Arial"/>
                <w:b/>
                <w:bCs/>
                <w:color w:val="000000"/>
                <w:szCs w:val="26"/>
              </w:rPr>
              <w:t xml:space="preserve"> </w:t>
            </w:r>
            <w:r w:rsidRPr="008810BB">
              <w:rPr>
                <w:rFonts w:cs="Arial"/>
                <w:b/>
                <w:bCs/>
                <w:color w:val="000000"/>
                <w:szCs w:val="26"/>
              </w:rPr>
              <w:t>over</w:t>
            </w:r>
          </w:p>
          <w:p w:rsidRPr="008810BB" w:rsidR="00DA42BC" w:rsidP="00613919" w:rsidRDefault="00DA42BC">
            <w:pPr>
              <w:jc w:val="right"/>
              <w:rPr>
                <w:rFonts w:cs="Arial"/>
                <w:b/>
                <w:bCs/>
                <w:color w:val="000000"/>
                <w:szCs w:val="26"/>
              </w:rPr>
            </w:pPr>
            <w:r>
              <w:rPr>
                <w:rFonts w:cs="Arial"/>
                <w:b/>
                <w:bCs/>
                <w:color w:val="000000"/>
                <w:szCs w:val="26"/>
              </w:rPr>
              <w:t>£ million</w:t>
            </w:r>
          </w:p>
        </w:tc>
      </w:tr>
      <w:tr w:rsidRPr="008810BB" w:rsidR="00DA42BC" w:rsidTr="00613919">
        <w:trPr>
          <w:trHeight w:val="345"/>
        </w:trPr>
        <w:tc>
          <w:tcPr>
            <w:tcW w:w="238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High Needs Block Top-ups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36.959</w:t>
            </w:r>
          </w:p>
        </w:tc>
        <w:tc>
          <w:tcPr>
            <w:tcW w:w="9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38.223</w:t>
            </w:r>
          </w:p>
        </w:tc>
        <w:tc>
          <w:tcPr>
            <w:tcW w:w="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1.264</w:t>
            </w:r>
          </w:p>
        </w:tc>
      </w:tr>
      <w:tr w:rsidRPr="008810BB" w:rsidR="00DA42BC" w:rsidTr="00613919">
        <w:trPr>
          <w:trHeight w:val="345"/>
        </w:trPr>
        <w:tc>
          <w:tcPr>
            <w:tcW w:w="238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High Needs Block - Special and P</w:t>
            </w:r>
            <w:r>
              <w:rPr>
                <w:rFonts w:cs="Arial"/>
                <w:color w:val="000000"/>
                <w:szCs w:val="26"/>
              </w:rPr>
              <w:t>RU</w:t>
            </w:r>
            <w:r w:rsidRPr="008810BB">
              <w:rPr>
                <w:rFonts w:cs="Arial"/>
                <w:color w:val="000000"/>
                <w:szCs w:val="26"/>
              </w:rPr>
              <w:t xml:space="preserve"> budgets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12.266</w:t>
            </w:r>
          </w:p>
        </w:tc>
        <w:tc>
          <w:tcPr>
            <w:tcW w:w="9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12.266</w:t>
            </w:r>
          </w:p>
        </w:tc>
        <w:tc>
          <w:tcPr>
            <w:tcW w:w="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0.000</w:t>
            </w:r>
          </w:p>
        </w:tc>
      </w:tr>
      <w:tr w:rsidRPr="008810BB" w:rsidR="00DA42BC" w:rsidTr="00613919">
        <w:trPr>
          <w:trHeight w:val="345"/>
        </w:trPr>
        <w:tc>
          <w:tcPr>
            <w:tcW w:w="238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High Needs Block Central Services &amp; other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16.312</w:t>
            </w:r>
          </w:p>
        </w:tc>
        <w:tc>
          <w:tcPr>
            <w:tcW w:w="9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15.904</w:t>
            </w:r>
          </w:p>
        </w:tc>
        <w:tc>
          <w:tcPr>
            <w:tcW w:w="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-0.408</w:t>
            </w:r>
          </w:p>
        </w:tc>
      </w:tr>
      <w:tr w:rsidRPr="008810BB" w:rsidR="00DA42BC" w:rsidTr="00613919">
        <w:trPr>
          <w:cantSplit/>
          <w:trHeight w:val="345"/>
        </w:trPr>
        <w:tc>
          <w:tcPr>
            <w:tcW w:w="238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Other central budgets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4.549</w:t>
            </w:r>
          </w:p>
        </w:tc>
        <w:tc>
          <w:tcPr>
            <w:tcW w:w="9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4.564</w:t>
            </w:r>
          </w:p>
        </w:tc>
        <w:tc>
          <w:tcPr>
            <w:tcW w:w="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0.015</w:t>
            </w:r>
          </w:p>
        </w:tc>
      </w:tr>
      <w:tr w:rsidRPr="008810BB" w:rsidR="00DA42BC" w:rsidTr="00613919">
        <w:trPr>
          <w:cantSplit/>
          <w:trHeight w:val="345"/>
        </w:trPr>
        <w:tc>
          <w:tcPr>
            <w:tcW w:w="238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School KS1 class size fund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1.100</w:t>
            </w:r>
          </w:p>
        </w:tc>
        <w:tc>
          <w:tcPr>
            <w:tcW w:w="9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1.100</w:t>
            </w:r>
          </w:p>
        </w:tc>
        <w:tc>
          <w:tcPr>
            <w:tcW w:w="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0.000</w:t>
            </w:r>
          </w:p>
        </w:tc>
      </w:tr>
      <w:tr w:rsidRPr="008810BB" w:rsidR="00DA42BC" w:rsidTr="00613919">
        <w:trPr>
          <w:cantSplit/>
          <w:trHeight w:val="345"/>
        </w:trPr>
        <w:tc>
          <w:tcPr>
            <w:tcW w:w="238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Schools’ re-pooled budgets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4.641</w:t>
            </w:r>
          </w:p>
        </w:tc>
        <w:tc>
          <w:tcPr>
            <w:tcW w:w="9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4.884</w:t>
            </w:r>
          </w:p>
        </w:tc>
        <w:tc>
          <w:tcPr>
            <w:tcW w:w="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0.243</w:t>
            </w:r>
          </w:p>
        </w:tc>
      </w:tr>
      <w:tr w:rsidRPr="008810BB" w:rsidR="00DA42BC" w:rsidTr="00613919">
        <w:trPr>
          <w:cantSplit/>
          <w:trHeight w:val="345"/>
        </w:trPr>
        <w:tc>
          <w:tcPr>
            <w:tcW w:w="238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Individual School Budgets (Mainstream, maintained only)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310.427</w:t>
            </w:r>
          </w:p>
        </w:tc>
        <w:tc>
          <w:tcPr>
            <w:tcW w:w="9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310.427</w:t>
            </w:r>
          </w:p>
        </w:tc>
        <w:tc>
          <w:tcPr>
            <w:tcW w:w="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0.000</w:t>
            </w:r>
          </w:p>
        </w:tc>
      </w:tr>
      <w:tr w:rsidRPr="008810BB" w:rsidR="00DA42BC" w:rsidTr="00613919">
        <w:trPr>
          <w:cantSplit/>
          <w:trHeight w:val="345"/>
        </w:trPr>
        <w:tc>
          <w:tcPr>
            <w:tcW w:w="238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Central Early Years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2.328</w:t>
            </w:r>
          </w:p>
        </w:tc>
        <w:tc>
          <w:tcPr>
            <w:tcW w:w="9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2.136</w:t>
            </w:r>
          </w:p>
        </w:tc>
        <w:tc>
          <w:tcPr>
            <w:tcW w:w="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-0.192</w:t>
            </w:r>
          </w:p>
        </w:tc>
      </w:tr>
      <w:tr w:rsidRPr="008810BB" w:rsidR="00DA42BC" w:rsidTr="00613919">
        <w:trPr>
          <w:cantSplit/>
          <w:trHeight w:val="345"/>
        </w:trPr>
        <w:tc>
          <w:tcPr>
            <w:tcW w:w="238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2 year old provision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4.644</w:t>
            </w:r>
          </w:p>
        </w:tc>
        <w:tc>
          <w:tcPr>
            <w:tcW w:w="9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5.078</w:t>
            </w:r>
          </w:p>
        </w:tc>
        <w:tc>
          <w:tcPr>
            <w:tcW w:w="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0.434</w:t>
            </w:r>
          </w:p>
        </w:tc>
      </w:tr>
      <w:tr w:rsidRPr="008810BB" w:rsidR="00DA42BC" w:rsidTr="00613919">
        <w:trPr>
          <w:trHeight w:val="1005"/>
        </w:trPr>
        <w:tc>
          <w:tcPr>
            <w:tcW w:w="238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8810BB" w:rsidR="00DA42BC" w:rsidP="00613919" w:rsidRDefault="00DA42BC">
            <w:pPr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3 &amp; 4 year olds in Private Voluntary and Independent (PVI) settings, schools and Academies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32.994</w:t>
            </w:r>
          </w:p>
        </w:tc>
        <w:tc>
          <w:tcPr>
            <w:tcW w:w="9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31.165</w:t>
            </w:r>
          </w:p>
        </w:tc>
        <w:tc>
          <w:tcPr>
            <w:tcW w:w="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-1.829</w:t>
            </w:r>
          </w:p>
        </w:tc>
      </w:tr>
      <w:tr w:rsidRPr="008810BB" w:rsidR="00DA42BC" w:rsidTr="00613919">
        <w:trPr>
          <w:trHeight w:val="345"/>
        </w:trPr>
        <w:tc>
          <w:tcPr>
            <w:tcW w:w="238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Nursery Schools allocated budgets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1.008</w:t>
            </w:r>
          </w:p>
        </w:tc>
        <w:tc>
          <w:tcPr>
            <w:tcW w:w="9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1.010</w:t>
            </w:r>
          </w:p>
        </w:tc>
        <w:tc>
          <w:tcPr>
            <w:tcW w:w="8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0.002</w:t>
            </w:r>
          </w:p>
        </w:tc>
      </w:tr>
      <w:tr w:rsidRPr="008810BB" w:rsidR="00DA42BC" w:rsidTr="00613919">
        <w:trPr>
          <w:cantSplit/>
          <w:trHeight w:val="345"/>
        </w:trPr>
        <w:tc>
          <w:tcPr>
            <w:tcW w:w="238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 xml:space="preserve">2017/18 DSG + post 16 grant </w:t>
            </w:r>
          </w:p>
        </w:tc>
        <w:tc>
          <w:tcPr>
            <w:tcW w:w="869" w:type="pct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-422.693</w:t>
            </w:r>
          </w:p>
        </w:tc>
        <w:tc>
          <w:tcPr>
            <w:tcW w:w="942" w:type="pct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-423.117</w:t>
            </w:r>
          </w:p>
        </w:tc>
        <w:tc>
          <w:tcPr>
            <w:tcW w:w="804" w:type="pct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-0.424</w:t>
            </w:r>
          </w:p>
        </w:tc>
      </w:tr>
      <w:tr w:rsidRPr="008810BB" w:rsidR="00DA42BC" w:rsidTr="00613919">
        <w:trPr>
          <w:cantSplit/>
          <w:trHeight w:val="345"/>
        </w:trPr>
        <w:tc>
          <w:tcPr>
            <w:tcW w:w="238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Drawdown from reserves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-4.535</w:t>
            </w:r>
          </w:p>
        </w:tc>
        <w:tc>
          <w:tcPr>
            <w:tcW w:w="9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-4.535</w:t>
            </w:r>
          </w:p>
        </w:tc>
        <w:tc>
          <w:tcPr>
            <w:tcW w:w="80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0.000</w:t>
            </w:r>
          </w:p>
        </w:tc>
      </w:tr>
      <w:tr w:rsidRPr="008810BB" w:rsidR="00DA42BC" w:rsidTr="00613919">
        <w:trPr>
          <w:cantSplit/>
          <w:trHeight w:val="345"/>
        </w:trPr>
        <w:tc>
          <w:tcPr>
            <w:tcW w:w="238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Total</w:t>
            </w:r>
          </w:p>
        </w:tc>
        <w:tc>
          <w:tcPr>
            <w:tcW w:w="86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0.000</w:t>
            </w:r>
          </w:p>
        </w:tc>
        <w:tc>
          <w:tcPr>
            <w:tcW w:w="9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-0.895</w:t>
            </w:r>
          </w:p>
        </w:tc>
        <w:tc>
          <w:tcPr>
            <w:tcW w:w="80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  <w:hideMark/>
          </w:tcPr>
          <w:p w:rsidRPr="008810BB" w:rsidR="00DA42BC" w:rsidP="00613919" w:rsidRDefault="00DA42BC">
            <w:pPr>
              <w:jc w:val="right"/>
              <w:rPr>
                <w:rFonts w:cs="Arial"/>
                <w:color w:val="000000"/>
                <w:szCs w:val="26"/>
              </w:rPr>
            </w:pPr>
            <w:r w:rsidRPr="008810BB">
              <w:rPr>
                <w:rFonts w:cs="Arial"/>
                <w:color w:val="000000"/>
                <w:szCs w:val="26"/>
              </w:rPr>
              <w:t>-0.895</w:t>
            </w:r>
          </w:p>
        </w:tc>
      </w:tr>
    </w:tbl>
    <w:p w:rsidR="00DA42BC" w:rsidP="001E43A5" w:rsidRDefault="00DA42BC">
      <w:pPr>
        <w:pStyle w:val="Title"/>
        <w:spacing w:line="240" w:lineRule="auto"/>
        <w:ind w:left="-181"/>
        <w:jc w:val="left"/>
        <w:rPr>
          <w:noProof/>
        </w:rPr>
      </w:pPr>
    </w:p>
    <w:sectPr w:rsidR="00DA42BC" w:rsidSect="00AA47AB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682" w:right="849" w:bottom="1079" w:left="993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D3B" w:rsidRDefault="00290D3B">
      <w:r>
        <w:separator/>
      </w:r>
    </w:p>
  </w:endnote>
  <w:endnote w:type="continuationSeparator" w:id="0">
    <w:p w:rsidR="00290D3B" w:rsidRDefault="00290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D3B" w:rsidRDefault="00290D3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90D3B" w:rsidRDefault="00290D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D3B" w:rsidRDefault="00290D3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>PAGE</w:instrText>
    </w:r>
    <w:r>
      <w:rPr>
        <w:rStyle w:val="PageNumber"/>
      </w:rPr>
      <w:fldChar w:fldCharType="separate"/>
    </w:r>
    <w:r w:rsidR="009C0669">
      <w:rPr>
        <w:rStyle w:val="PageNumber"/>
        <w:noProof/>
      </w:rPr>
      <w:t>3</w:t>
    </w:r>
    <w:r>
      <w:rPr>
        <w:rStyle w:val="PageNumber"/>
      </w:rPr>
      <w:fldChar w:fldCharType="end"/>
    </w:r>
  </w:p>
  <w:p w:rsidR="00290D3B" w:rsidRDefault="00290D3B" w:rsidP="00971506">
    <w:pPr>
      <w:pStyle w:val="Footer"/>
      <w:jc w:val="both"/>
      <w:rPr>
        <w:sz w:val="20"/>
      </w:rPr>
    </w:pPr>
  </w:p>
  <w:p w:rsidR="00290D3B" w:rsidRPr="00A30AEA" w:rsidRDefault="00AA47AB" w:rsidP="00AA47AB">
    <w:pPr>
      <w:pStyle w:val="Footer"/>
      <w:rPr>
        <w:sz w:val="14"/>
        <w:szCs w:val="14"/>
      </w:rPr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\* FirstCap  \* MERGEFORMAT </w:instrText>
    </w:r>
    <w:r>
      <w:rPr>
        <w:sz w:val="14"/>
        <w:szCs w:val="14"/>
      </w:rPr>
      <w:fldChar w:fldCharType="separate"/>
    </w:r>
    <w:r>
      <w:rPr>
        <w:noProof/>
        <w:sz w:val="14"/>
        <w:szCs w:val="14"/>
      </w:rPr>
      <w:t>Rep 724 Schools Forum 2017-18 DSG Monitoring v1</w:t>
    </w:r>
    <w:r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D3B" w:rsidRDefault="00290D3B">
      <w:r>
        <w:separator/>
      </w:r>
    </w:p>
  </w:footnote>
  <w:footnote w:type="continuationSeparator" w:id="0">
    <w:p w:rsidR="00290D3B" w:rsidRDefault="00290D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2148547"/>
      <w:docPartObj>
        <w:docPartGallery w:val="Watermarks"/>
        <w:docPartUnique/>
      </w:docPartObj>
    </w:sdtPr>
    <w:sdtEndPr/>
    <w:sdtContent>
      <w:p w:rsidR="00290D3B" w:rsidRDefault="009C0669">
        <w:pPr>
          <w:pStyle w:val="Header"/>
        </w:pPr>
        <w:r>
          <w:rPr>
            <w:noProof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843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D3B" w:rsidRDefault="00290D3B">
    <w:pPr>
      <w:pStyle w:val="Header"/>
    </w:pPr>
    <w:r>
      <w:t>R</w:t>
    </w:r>
    <w:r w:rsidR="009D64B0">
      <w:t>EP 724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279FBC3"/>
    <w:multiLevelType w:val="hybridMultilevel"/>
    <w:tmpl w:val="D0CE651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88528D"/>
    <w:multiLevelType w:val="hybridMultilevel"/>
    <w:tmpl w:val="62A498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7A55CF"/>
    <w:multiLevelType w:val="hybridMultilevel"/>
    <w:tmpl w:val="30C2E716"/>
    <w:lvl w:ilvl="0" w:tplc="B140867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FE4CE4"/>
    <w:multiLevelType w:val="hybridMultilevel"/>
    <w:tmpl w:val="EE2E1F6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BB0B87"/>
    <w:multiLevelType w:val="hybridMultilevel"/>
    <w:tmpl w:val="D9402BBE"/>
    <w:lvl w:ilvl="0" w:tplc="19D45E7C">
      <w:start w:val="6"/>
      <w:numFmt w:val="decimal"/>
      <w:lvlText w:val="2. 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750A7"/>
    <w:multiLevelType w:val="hybridMultilevel"/>
    <w:tmpl w:val="CFB29E5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BA48D7"/>
    <w:multiLevelType w:val="hybridMultilevel"/>
    <w:tmpl w:val="6AD00C6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173CA4"/>
    <w:multiLevelType w:val="hybridMultilevel"/>
    <w:tmpl w:val="50C293A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F82BC7"/>
    <w:multiLevelType w:val="hybridMultilevel"/>
    <w:tmpl w:val="4E42C8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C3B41"/>
    <w:multiLevelType w:val="hybridMultilevel"/>
    <w:tmpl w:val="F2F44496"/>
    <w:lvl w:ilvl="0" w:tplc="6FFA54FE">
      <w:start w:val="1"/>
      <w:numFmt w:val="none"/>
      <w:lvlText w:val="2.6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402F25"/>
    <w:multiLevelType w:val="hybridMultilevel"/>
    <w:tmpl w:val="8EA4B5CE"/>
    <w:lvl w:ilvl="0" w:tplc="F3549A4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1C2456"/>
    <w:multiLevelType w:val="hybridMultilevel"/>
    <w:tmpl w:val="45F2CCC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CA17A0"/>
    <w:multiLevelType w:val="multilevel"/>
    <w:tmpl w:val="01AA17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FDD6109"/>
    <w:multiLevelType w:val="hybridMultilevel"/>
    <w:tmpl w:val="2264C9B4"/>
    <w:lvl w:ilvl="0" w:tplc="D2B2B5E8">
      <w:start w:val="21"/>
      <w:numFmt w:val="bullet"/>
      <w:lvlText w:val=""/>
      <w:lvlJc w:val="left"/>
      <w:pPr>
        <w:ind w:left="179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89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1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3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5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7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9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1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39" w:hanging="360"/>
      </w:pPr>
      <w:rPr>
        <w:rFonts w:ascii="Wingdings" w:hAnsi="Wingdings" w:hint="default"/>
      </w:rPr>
    </w:lvl>
  </w:abstractNum>
  <w:abstractNum w:abstractNumId="14" w15:restartNumberingAfterBreak="0">
    <w:nsid w:val="30B71222"/>
    <w:multiLevelType w:val="hybridMultilevel"/>
    <w:tmpl w:val="D2E2CA6C"/>
    <w:lvl w:ilvl="0" w:tplc="55ECD714">
      <w:start w:val="23"/>
      <w:numFmt w:val="bullet"/>
      <w:lvlText w:val=""/>
      <w:lvlJc w:val="left"/>
      <w:pPr>
        <w:ind w:left="179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89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1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3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5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7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9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1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39" w:hanging="360"/>
      </w:pPr>
      <w:rPr>
        <w:rFonts w:ascii="Wingdings" w:hAnsi="Wingdings" w:hint="default"/>
      </w:rPr>
    </w:lvl>
  </w:abstractNum>
  <w:abstractNum w:abstractNumId="15" w15:restartNumberingAfterBreak="0">
    <w:nsid w:val="382345FC"/>
    <w:multiLevelType w:val="hybridMultilevel"/>
    <w:tmpl w:val="0A1E5AA4"/>
    <w:lvl w:ilvl="0" w:tplc="C086625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6460F8"/>
    <w:multiLevelType w:val="hybridMultilevel"/>
    <w:tmpl w:val="92CAC84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24771C0"/>
    <w:multiLevelType w:val="hybridMultilevel"/>
    <w:tmpl w:val="5354531C"/>
    <w:lvl w:ilvl="0" w:tplc="820EBAEA">
      <w:start w:val="2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E6CD2"/>
    <w:multiLevelType w:val="multilevel"/>
    <w:tmpl w:val="6AF49BE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2. 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9" w15:restartNumberingAfterBreak="0">
    <w:nsid w:val="49E9409E"/>
    <w:multiLevelType w:val="multilevel"/>
    <w:tmpl w:val="DB9A47A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2.7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0" w15:restartNumberingAfterBreak="0">
    <w:nsid w:val="4BC32D64"/>
    <w:multiLevelType w:val="hybridMultilevel"/>
    <w:tmpl w:val="00F4FF3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E456E01"/>
    <w:multiLevelType w:val="hybridMultilevel"/>
    <w:tmpl w:val="CCB6E0E2"/>
    <w:lvl w:ilvl="0" w:tplc="EE7CA8D4">
      <w:start w:val="1"/>
      <w:numFmt w:val="none"/>
      <w:lvlText w:val="2.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6540FC"/>
    <w:multiLevelType w:val="hybridMultilevel"/>
    <w:tmpl w:val="AD96F11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D985591"/>
    <w:multiLevelType w:val="hybridMultilevel"/>
    <w:tmpl w:val="CBECB570"/>
    <w:lvl w:ilvl="0" w:tplc="60BC8EE6">
      <w:start w:val="5"/>
      <w:numFmt w:val="decimal"/>
      <w:lvlText w:val="2. 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BC7133"/>
    <w:multiLevelType w:val="multilevel"/>
    <w:tmpl w:val="0DD4ECC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743466E"/>
    <w:multiLevelType w:val="hybridMultilevel"/>
    <w:tmpl w:val="4448F1D8"/>
    <w:lvl w:ilvl="0" w:tplc="237001FE">
      <w:start w:val="3"/>
      <w:numFmt w:val="decimal"/>
      <w:lvlText w:val="2. 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70474"/>
    <w:multiLevelType w:val="hybridMultilevel"/>
    <w:tmpl w:val="819E1DDE"/>
    <w:lvl w:ilvl="0" w:tplc="B746B00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583704"/>
    <w:multiLevelType w:val="hybridMultilevel"/>
    <w:tmpl w:val="8C981FF4"/>
    <w:lvl w:ilvl="0" w:tplc="1200C8B2">
      <w:start w:val="7"/>
      <w:numFmt w:val="decimal"/>
      <w:lvlText w:val="2. 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E117FB"/>
    <w:multiLevelType w:val="hybridMultilevel"/>
    <w:tmpl w:val="8138CFDC"/>
    <w:lvl w:ilvl="0" w:tplc="F90262C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106D0B6">
      <w:start w:val="1"/>
      <w:numFmt w:val="decimal"/>
      <w:lvlText w:val="%2.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9"/>
  </w:num>
  <w:num w:numId="3">
    <w:abstractNumId w:val="28"/>
  </w:num>
  <w:num w:numId="4">
    <w:abstractNumId w:val="21"/>
  </w:num>
  <w:num w:numId="5">
    <w:abstractNumId w:val="9"/>
  </w:num>
  <w:num w:numId="6">
    <w:abstractNumId w:val="5"/>
  </w:num>
  <w:num w:numId="7">
    <w:abstractNumId w:val="18"/>
  </w:num>
  <w:num w:numId="8">
    <w:abstractNumId w:val="11"/>
  </w:num>
  <w:num w:numId="9">
    <w:abstractNumId w:val="22"/>
  </w:num>
  <w:num w:numId="10">
    <w:abstractNumId w:val="8"/>
  </w:num>
  <w:num w:numId="11">
    <w:abstractNumId w:val="1"/>
  </w:num>
  <w:num w:numId="12">
    <w:abstractNumId w:val="20"/>
  </w:num>
  <w:num w:numId="13">
    <w:abstractNumId w:val="6"/>
  </w:num>
  <w:num w:numId="14">
    <w:abstractNumId w:val="7"/>
  </w:num>
  <w:num w:numId="15">
    <w:abstractNumId w:val="16"/>
  </w:num>
  <w:num w:numId="16">
    <w:abstractNumId w:val="3"/>
  </w:num>
  <w:num w:numId="17">
    <w:abstractNumId w:val="17"/>
  </w:num>
  <w:num w:numId="18">
    <w:abstractNumId w:val="25"/>
  </w:num>
  <w:num w:numId="19">
    <w:abstractNumId w:val="23"/>
  </w:num>
  <w:num w:numId="20">
    <w:abstractNumId w:val="27"/>
  </w:num>
  <w:num w:numId="21">
    <w:abstractNumId w:val="4"/>
  </w:num>
  <w:num w:numId="22">
    <w:abstractNumId w:val="2"/>
  </w:num>
  <w:num w:numId="23">
    <w:abstractNumId w:val="14"/>
  </w:num>
  <w:num w:numId="24">
    <w:abstractNumId w:val="13"/>
  </w:num>
  <w:num w:numId="25">
    <w:abstractNumId w:val="26"/>
  </w:num>
  <w:num w:numId="26">
    <w:abstractNumId w:val="10"/>
  </w:num>
  <w:num w:numId="27">
    <w:abstractNumId w:val="12"/>
  </w:num>
  <w:num w:numId="28">
    <w:abstractNumId w:val="24"/>
  </w:num>
  <w:num w:numId="29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8434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4AF"/>
    <w:rsid w:val="000020E6"/>
    <w:rsid w:val="00003879"/>
    <w:rsid w:val="00010980"/>
    <w:rsid w:val="00013430"/>
    <w:rsid w:val="00014775"/>
    <w:rsid w:val="000149D6"/>
    <w:rsid w:val="0002014F"/>
    <w:rsid w:val="000209E8"/>
    <w:rsid w:val="000224A0"/>
    <w:rsid w:val="0003011D"/>
    <w:rsid w:val="00034B1B"/>
    <w:rsid w:val="0004055E"/>
    <w:rsid w:val="00042ADB"/>
    <w:rsid w:val="00043F01"/>
    <w:rsid w:val="000459C8"/>
    <w:rsid w:val="000544EC"/>
    <w:rsid w:val="00055899"/>
    <w:rsid w:val="00057C71"/>
    <w:rsid w:val="00057E3E"/>
    <w:rsid w:val="000609EB"/>
    <w:rsid w:val="000664D0"/>
    <w:rsid w:val="00070E98"/>
    <w:rsid w:val="0007151C"/>
    <w:rsid w:val="00071828"/>
    <w:rsid w:val="0007319B"/>
    <w:rsid w:val="000827EA"/>
    <w:rsid w:val="00084DDB"/>
    <w:rsid w:val="000859DB"/>
    <w:rsid w:val="000865BF"/>
    <w:rsid w:val="000A08D4"/>
    <w:rsid w:val="000A163B"/>
    <w:rsid w:val="000A2F0C"/>
    <w:rsid w:val="000A3E57"/>
    <w:rsid w:val="000A59AC"/>
    <w:rsid w:val="000B132A"/>
    <w:rsid w:val="000B321A"/>
    <w:rsid w:val="000B4589"/>
    <w:rsid w:val="000C131B"/>
    <w:rsid w:val="000C2AC0"/>
    <w:rsid w:val="000E258D"/>
    <w:rsid w:val="000F030B"/>
    <w:rsid w:val="000F17CF"/>
    <w:rsid w:val="000F2C74"/>
    <w:rsid w:val="000F369C"/>
    <w:rsid w:val="000F417C"/>
    <w:rsid w:val="000F5128"/>
    <w:rsid w:val="000F7358"/>
    <w:rsid w:val="001001FD"/>
    <w:rsid w:val="00102DCA"/>
    <w:rsid w:val="00103175"/>
    <w:rsid w:val="0010657B"/>
    <w:rsid w:val="00110081"/>
    <w:rsid w:val="00110A34"/>
    <w:rsid w:val="00110B8A"/>
    <w:rsid w:val="001117FB"/>
    <w:rsid w:val="001167EC"/>
    <w:rsid w:val="001214F6"/>
    <w:rsid w:val="0012530B"/>
    <w:rsid w:val="00133008"/>
    <w:rsid w:val="001332C3"/>
    <w:rsid w:val="00135C75"/>
    <w:rsid w:val="00135D56"/>
    <w:rsid w:val="00136717"/>
    <w:rsid w:val="00140BC6"/>
    <w:rsid w:val="0014388C"/>
    <w:rsid w:val="00144A02"/>
    <w:rsid w:val="00154EEF"/>
    <w:rsid w:val="001562CD"/>
    <w:rsid w:val="00160CC2"/>
    <w:rsid w:val="001610A1"/>
    <w:rsid w:val="001612A4"/>
    <w:rsid w:val="0016408A"/>
    <w:rsid w:val="00167699"/>
    <w:rsid w:val="00173FBF"/>
    <w:rsid w:val="001741D2"/>
    <w:rsid w:val="00177153"/>
    <w:rsid w:val="00177258"/>
    <w:rsid w:val="00177CC0"/>
    <w:rsid w:val="00185FF2"/>
    <w:rsid w:val="00192907"/>
    <w:rsid w:val="001A0006"/>
    <w:rsid w:val="001A61DA"/>
    <w:rsid w:val="001A6355"/>
    <w:rsid w:val="001B081F"/>
    <w:rsid w:val="001B08DA"/>
    <w:rsid w:val="001B10E2"/>
    <w:rsid w:val="001B7189"/>
    <w:rsid w:val="001C0159"/>
    <w:rsid w:val="001C39FD"/>
    <w:rsid w:val="001C523F"/>
    <w:rsid w:val="001D5F21"/>
    <w:rsid w:val="001E43A5"/>
    <w:rsid w:val="001E5CF7"/>
    <w:rsid w:val="001E62B3"/>
    <w:rsid w:val="001E703D"/>
    <w:rsid w:val="001E74A2"/>
    <w:rsid w:val="002005C6"/>
    <w:rsid w:val="00200927"/>
    <w:rsid w:val="00201D48"/>
    <w:rsid w:val="00203FBB"/>
    <w:rsid w:val="002050D7"/>
    <w:rsid w:val="00205361"/>
    <w:rsid w:val="00207728"/>
    <w:rsid w:val="00223953"/>
    <w:rsid w:val="00224C82"/>
    <w:rsid w:val="002319A5"/>
    <w:rsid w:val="00234383"/>
    <w:rsid w:val="00236BEE"/>
    <w:rsid w:val="0024008E"/>
    <w:rsid w:val="00242464"/>
    <w:rsid w:val="00245922"/>
    <w:rsid w:val="002511CD"/>
    <w:rsid w:val="0025409D"/>
    <w:rsid w:val="00261465"/>
    <w:rsid w:val="00265A30"/>
    <w:rsid w:val="00265D0C"/>
    <w:rsid w:val="00275251"/>
    <w:rsid w:val="002752A9"/>
    <w:rsid w:val="00276659"/>
    <w:rsid w:val="00282A16"/>
    <w:rsid w:val="00282E85"/>
    <w:rsid w:val="00283B5D"/>
    <w:rsid w:val="002841E1"/>
    <w:rsid w:val="002844B6"/>
    <w:rsid w:val="00286F44"/>
    <w:rsid w:val="0029086F"/>
    <w:rsid w:val="002908D7"/>
    <w:rsid w:val="00290D3B"/>
    <w:rsid w:val="002915B7"/>
    <w:rsid w:val="00294B23"/>
    <w:rsid w:val="00294CE5"/>
    <w:rsid w:val="002A1CDE"/>
    <w:rsid w:val="002B0F7B"/>
    <w:rsid w:val="002B1945"/>
    <w:rsid w:val="002B4871"/>
    <w:rsid w:val="002B48B0"/>
    <w:rsid w:val="002B5226"/>
    <w:rsid w:val="002C59D6"/>
    <w:rsid w:val="002D0772"/>
    <w:rsid w:val="002D2E2B"/>
    <w:rsid w:val="002D3A93"/>
    <w:rsid w:val="002D4037"/>
    <w:rsid w:val="002D42B9"/>
    <w:rsid w:val="002D5DAA"/>
    <w:rsid w:val="002D70C2"/>
    <w:rsid w:val="002D7A16"/>
    <w:rsid w:val="002E0D9F"/>
    <w:rsid w:val="002E5610"/>
    <w:rsid w:val="002E6644"/>
    <w:rsid w:val="002E6BF6"/>
    <w:rsid w:val="002E7B09"/>
    <w:rsid w:val="002F233A"/>
    <w:rsid w:val="002F6C7E"/>
    <w:rsid w:val="002F7E4C"/>
    <w:rsid w:val="003017F8"/>
    <w:rsid w:val="00313545"/>
    <w:rsid w:val="003228C9"/>
    <w:rsid w:val="00325740"/>
    <w:rsid w:val="00326D7D"/>
    <w:rsid w:val="00327453"/>
    <w:rsid w:val="00331024"/>
    <w:rsid w:val="00335436"/>
    <w:rsid w:val="003355D1"/>
    <w:rsid w:val="00337A35"/>
    <w:rsid w:val="00344368"/>
    <w:rsid w:val="00363747"/>
    <w:rsid w:val="00363A19"/>
    <w:rsid w:val="003651BF"/>
    <w:rsid w:val="0037089C"/>
    <w:rsid w:val="0037212C"/>
    <w:rsid w:val="00372803"/>
    <w:rsid w:val="0037343F"/>
    <w:rsid w:val="003748DD"/>
    <w:rsid w:val="00374AAF"/>
    <w:rsid w:val="00380CA4"/>
    <w:rsid w:val="003844B0"/>
    <w:rsid w:val="003917E2"/>
    <w:rsid w:val="00395A81"/>
    <w:rsid w:val="0039691D"/>
    <w:rsid w:val="00396B57"/>
    <w:rsid w:val="00397939"/>
    <w:rsid w:val="003A122C"/>
    <w:rsid w:val="003A6083"/>
    <w:rsid w:val="003B3C7C"/>
    <w:rsid w:val="003B521A"/>
    <w:rsid w:val="003B5322"/>
    <w:rsid w:val="003C3425"/>
    <w:rsid w:val="003C3D51"/>
    <w:rsid w:val="003C4FD9"/>
    <w:rsid w:val="003C60CC"/>
    <w:rsid w:val="003D202B"/>
    <w:rsid w:val="003D5804"/>
    <w:rsid w:val="003D7AEE"/>
    <w:rsid w:val="003F07B2"/>
    <w:rsid w:val="003F1769"/>
    <w:rsid w:val="003F2CCA"/>
    <w:rsid w:val="003F2DA2"/>
    <w:rsid w:val="003F5AA1"/>
    <w:rsid w:val="003F5ADA"/>
    <w:rsid w:val="003F6CED"/>
    <w:rsid w:val="003F7B21"/>
    <w:rsid w:val="00401BFD"/>
    <w:rsid w:val="00415A29"/>
    <w:rsid w:val="00423FA1"/>
    <w:rsid w:val="00425F4A"/>
    <w:rsid w:val="0042640C"/>
    <w:rsid w:val="00426ED6"/>
    <w:rsid w:val="00432389"/>
    <w:rsid w:val="00433DE5"/>
    <w:rsid w:val="00436985"/>
    <w:rsid w:val="004404C1"/>
    <w:rsid w:val="00441F1F"/>
    <w:rsid w:val="00444986"/>
    <w:rsid w:val="00444BD5"/>
    <w:rsid w:val="004453FD"/>
    <w:rsid w:val="00445EB9"/>
    <w:rsid w:val="004523E9"/>
    <w:rsid w:val="00454F77"/>
    <w:rsid w:val="00456955"/>
    <w:rsid w:val="00461823"/>
    <w:rsid w:val="00463296"/>
    <w:rsid w:val="00463659"/>
    <w:rsid w:val="00464243"/>
    <w:rsid w:val="00477EF7"/>
    <w:rsid w:val="0048149B"/>
    <w:rsid w:val="00486277"/>
    <w:rsid w:val="004866B3"/>
    <w:rsid w:val="00487AA4"/>
    <w:rsid w:val="004903F8"/>
    <w:rsid w:val="00494023"/>
    <w:rsid w:val="00495AD3"/>
    <w:rsid w:val="00495E6A"/>
    <w:rsid w:val="004A2254"/>
    <w:rsid w:val="004A2A14"/>
    <w:rsid w:val="004A6C65"/>
    <w:rsid w:val="004B244B"/>
    <w:rsid w:val="004B2975"/>
    <w:rsid w:val="004B2E47"/>
    <w:rsid w:val="004B628F"/>
    <w:rsid w:val="004C3BEB"/>
    <w:rsid w:val="004C40F8"/>
    <w:rsid w:val="004D2615"/>
    <w:rsid w:val="004D34C4"/>
    <w:rsid w:val="004E1A70"/>
    <w:rsid w:val="004E3345"/>
    <w:rsid w:val="004E3AC4"/>
    <w:rsid w:val="004E48F0"/>
    <w:rsid w:val="004E4A32"/>
    <w:rsid w:val="004E5BFF"/>
    <w:rsid w:val="004E5FD4"/>
    <w:rsid w:val="004E69AC"/>
    <w:rsid w:val="004F410E"/>
    <w:rsid w:val="004F42C3"/>
    <w:rsid w:val="004F7F7D"/>
    <w:rsid w:val="00502BC5"/>
    <w:rsid w:val="005045F6"/>
    <w:rsid w:val="00505FFE"/>
    <w:rsid w:val="005106EB"/>
    <w:rsid w:val="005133DD"/>
    <w:rsid w:val="00517575"/>
    <w:rsid w:val="0052192A"/>
    <w:rsid w:val="00524EF4"/>
    <w:rsid w:val="00526609"/>
    <w:rsid w:val="0052755C"/>
    <w:rsid w:val="00533C38"/>
    <w:rsid w:val="00536AA3"/>
    <w:rsid w:val="0054221A"/>
    <w:rsid w:val="005439CB"/>
    <w:rsid w:val="00544FE0"/>
    <w:rsid w:val="00553B29"/>
    <w:rsid w:val="00554697"/>
    <w:rsid w:val="005617C7"/>
    <w:rsid w:val="00562D3A"/>
    <w:rsid w:val="005641F4"/>
    <w:rsid w:val="0057047D"/>
    <w:rsid w:val="0057440A"/>
    <w:rsid w:val="005754E7"/>
    <w:rsid w:val="00576BDB"/>
    <w:rsid w:val="005811B1"/>
    <w:rsid w:val="0058177B"/>
    <w:rsid w:val="005825AD"/>
    <w:rsid w:val="0058381C"/>
    <w:rsid w:val="00586D90"/>
    <w:rsid w:val="0059178C"/>
    <w:rsid w:val="00594187"/>
    <w:rsid w:val="00594CBA"/>
    <w:rsid w:val="005A041D"/>
    <w:rsid w:val="005A2676"/>
    <w:rsid w:val="005A31A3"/>
    <w:rsid w:val="005A75A4"/>
    <w:rsid w:val="005B6EEF"/>
    <w:rsid w:val="005C3930"/>
    <w:rsid w:val="005C48E3"/>
    <w:rsid w:val="005C5501"/>
    <w:rsid w:val="005C5BDF"/>
    <w:rsid w:val="005D0B7C"/>
    <w:rsid w:val="005D3A11"/>
    <w:rsid w:val="005D3F9A"/>
    <w:rsid w:val="005D42F4"/>
    <w:rsid w:val="005D643F"/>
    <w:rsid w:val="005D7F3A"/>
    <w:rsid w:val="005E0F1F"/>
    <w:rsid w:val="005E705A"/>
    <w:rsid w:val="005F35CA"/>
    <w:rsid w:val="00604984"/>
    <w:rsid w:val="00604993"/>
    <w:rsid w:val="006053CF"/>
    <w:rsid w:val="00611629"/>
    <w:rsid w:val="00615AC7"/>
    <w:rsid w:val="00620EE0"/>
    <w:rsid w:val="006270DD"/>
    <w:rsid w:val="00631EDF"/>
    <w:rsid w:val="0063571F"/>
    <w:rsid w:val="00635756"/>
    <w:rsid w:val="006370D3"/>
    <w:rsid w:val="00643720"/>
    <w:rsid w:val="00644EC7"/>
    <w:rsid w:val="00646A64"/>
    <w:rsid w:val="0064712F"/>
    <w:rsid w:val="006474AF"/>
    <w:rsid w:val="00654C7C"/>
    <w:rsid w:val="00655EA8"/>
    <w:rsid w:val="006725FF"/>
    <w:rsid w:val="006729AB"/>
    <w:rsid w:val="0067549E"/>
    <w:rsid w:val="006764AC"/>
    <w:rsid w:val="00686A9E"/>
    <w:rsid w:val="00690566"/>
    <w:rsid w:val="0069146F"/>
    <w:rsid w:val="006939FE"/>
    <w:rsid w:val="006960E9"/>
    <w:rsid w:val="006A08F8"/>
    <w:rsid w:val="006A1A79"/>
    <w:rsid w:val="006B5ADD"/>
    <w:rsid w:val="006B7DFF"/>
    <w:rsid w:val="006C1CC7"/>
    <w:rsid w:val="006C1F6F"/>
    <w:rsid w:val="006C5635"/>
    <w:rsid w:val="006C79F7"/>
    <w:rsid w:val="006C7BF0"/>
    <w:rsid w:val="006D624B"/>
    <w:rsid w:val="006E24D0"/>
    <w:rsid w:val="006E4B85"/>
    <w:rsid w:val="006E665A"/>
    <w:rsid w:val="006E686A"/>
    <w:rsid w:val="006E6B8E"/>
    <w:rsid w:val="006E7150"/>
    <w:rsid w:val="006E7A93"/>
    <w:rsid w:val="006E7FC2"/>
    <w:rsid w:val="006F4328"/>
    <w:rsid w:val="006F6A8B"/>
    <w:rsid w:val="00700CCC"/>
    <w:rsid w:val="0070304B"/>
    <w:rsid w:val="007103D4"/>
    <w:rsid w:val="0071171F"/>
    <w:rsid w:val="00715167"/>
    <w:rsid w:val="00715815"/>
    <w:rsid w:val="00715BC3"/>
    <w:rsid w:val="00722CA9"/>
    <w:rsid w:val="0072312E"/>
    <w:rsid w:val="007246B4"/>
    <w:rsid w:val="00726FE3"/>
    <w:rsid w:val="00730FE8"/>
    <w:rsid w:val="0073121B"/>
    <w:rsid w:val="0073444A"/>
    <w:rsid w:val="00734880"/>
    <w:rsid w:val="00736153"/>
    <w:rsid w:val="0074216D"/>
    <w:rsid w:val="007427D5"/>
    <w:rsid w:val="0074680A"/>
    <w:rsid w:val="007507D8"/>
    <w:rsid w:val="007508E3"/>
    <w:rsid w:val="007509F9"/>
    <w:rsid w:val="007600B6"/>
    <w:rsid w:val="007660FC"/>
    <w:rsid w:val="00766B4D"/>
    <w:rsid w:val="00767DEC"/>
    <w:rsid w:val="007762C5"/>
    <w:rsid w:val="007779F1"/>
    <w:rsid w:val="00780B2C"/>
    <w:rsid w:val="007841C4"/>
    <w:rsid w:val="00784D87"/>
    <w:rsid w:val="00785581"/>
    <w:rsid w:val="0078697D"/>
    <w:rsid w:val="007929EA"/>
    <w:rsid w:val="00795FAC"/>
    <w:rsid w:val="00796AF1"/>
    <w:rsid w:val="007A163A"/>
    <w:rsid w:val="007A1F23"/>
    <w:rsid w:val="007A6176"/>
    <w:rsid w:val="007B106C"/>
    <w:rsid w:val="007B2507"/>
    <w:rsid w:val="007B318A"/>
    <w:rsid w:val="007B668C"/>
    <w:rsid w:val="007B7831"/>
    <w:rsid w:val="007C3589"/>
    <w:rsid w:val="007C46D5"/>
    <w:rsid w:val="007D061F"/>
    <w:rsid w:val="007D7E2F"/>
    <w:rsid w:val="007E29D3"/>
    <w:rsid w:val="007E47CF"/>
    <w:rsid w:val="007F3D66"/>
    <w:rsid w:val="007F7C92"/>
    <w:rsid w:val="00800450"/>
    <w:rsid w:val="0080394B"/>
    <w:rsid w:val="008057E5"/>
    <w:rsid w:val="0082017F"/>
    <w:rsid w:val="008216CD"/>
    <w:rsid w:val="008301BE"/>
    <w:rsid w:val="008347F0"/>
    <w:rsid w:val="008356E8"/>
    <w:rsid w:val="008415F7"/>
    <w:rsid w:val="0084307E"/>
    <w:rsid w:val="00843956"/>
    <w:rsid w:val="00843F81"/>
    <w:rsid w:val="00844254"/>
    <w:rsid w:val="0084438E"/>
    <w:rsid w:val="0084557B"/>
    <w:rsid w:val="008521A1"/>
    <w:rsid w:val="00852A75"/>
    <w:rsid w:val="00853537"/>
    <w:rsid w:val="00854107"/>
    <w:rsid w:val="008546EB"/>
    <w:rsid w:val="0086091C"/>
    <w:rsid w:val="00864FD5"/>
    <w:rsid w:val="0086502D"/>
    <w:rsid w:val="008665AB"/>
    <w:rsid w:val="0087242D"/>
    <w:rsid w:val="0087412E"/>
    <w:rsid w:val="00875537"/>
    <w:rsid w:val="008810BB"/>
    <w:rsid w:val="00881365"/>
    <w:rsid w:val="00881656"/>
    <w:rsid w:val="00881870"/>
    <w:rsid w:val="00882594"/>
    <w:rsid w:val="00884491"/>
    <w:rsid w:val="00884DD1"/>
    <w:rsid w:val="008929AB"/>
    <w:rsid w:val="00892A82"/>
    <w:rsid w:val="008A02F8"/>
    <w:rsid w:val="008A295F"/>
    <w:rsid w:val="008A385C"/>
    <w:rsid w:val="008B527A"/>
    <w:rsid w:val="008B5E3F"/>
    <w:rsid w:val="008B66DA"/>
    <w:rsid w:val="008B777B"/>
    <w:rsid w:val="008C1804"/>
    <w:rsid w:val="008C7615"/>
    <w:rsid w:val="008C7B83"/>
    <w:rsid w:val="008D03E0"/>
    <w:rsid w:val="008D07CB"/>
    <w:rsid w:val="008D0857"/>
    <w:rsid w:val="008D1ECA"/>
    <w:rsid w:val="008D2535"/>
    <w:rsid w:val="008D5A13"/>
    <w:rsid w:val="008D5F6A"/>
    <w:rsid w:val="008E1AB6"/>
    <w:rsid w:val="008E1EBD"/>
    <w:rsid w:val="008E3208"/>
    <w:rsid w:val="008E5B23"/>
    <w:rsid w:val="008E6956"/>
    <w:rsid w:val="008F0082"/>
    <w:rsid w:val="008F6103"/>
    <w:rsid w:val="00900EB4"/>
    <w:rsid w:val="00906BCD"/>
    <w:rsid w:val="00911557"/>
    <w:rsid w:val="00911D87"/>
    <w:rsid w:val="00913356"/>
    <w:rsid w:val="0091516B"/>
    <w:rsid w:val="0091627A"/>
    <w:rsid w:val="00922603"/>
    <w:rsid w:val="00923BEB"/>
    <w:rsid w:val="009248EE"/>
    <w:rsid w:val="00937175"/>
    <w:rsid w:val="009512E1"/>
    <w:rsid w:val="009538A8"/>
    <w:rsid w:val="00954A17"/>
    <w:rsid w:val="00954A70"/>
    <w:rsid w:val="00957AE6"/>
    <w:rsid w:val="00957DB5"/>
    <w:rsid w:val="0096520F"/>
    <w:rsid w:val="00966A1C"/>
    <w:rsid w:val="00971506"/>
    <w:rsid w:val="00977006"/>
    <w:rsid w:val="00982D00"/>
    <w:rsid w:val="00983D46"/>
    <w:rsid w:val="00985152"/>
    <w:rsid w:val="00987FF8"/>
    <w:rsid w:val="00990A95"/>
    <w:rsid w:val="00994D81"/>
    <w:rsid w:val="009954A3"/>
    <w:rsid w:val="009B2DE0"/>
    <w:rsid w:val="009B319C"/>
    <w:rsid w:val="009B4ED6"/>
    <w:rsid w:val="009C0669"/>
    <w:rsid w:val="009C1243"/>
    <w:rsid w:val="009C13F4"/>
    <w:rsid w:val="009C26C5"/>
    <w:rsid w:val="009C29AD"/>
    <w:rsid w:val="009C3799"/>
    <w:rsid w:val="009C3995"/>
    <w:rsid w:val="009C44DF"/>
    <w:rsid w:val="009C7E92"/>
    <w:rsid w:val="009D266B"/>
    <w:rsid w:val="009D3EC3"/>
    <w:rsid w:val="009D64B0"/>
    <w:rsid w:val="009D65A4"/>
    <w:rsid w:val="009E19F9"/>
    <w:rsid w:val="009E208C"/>
    <w:rsid w:val="009F1309"/>
    <w:rsid w:val="009F1C83"/>
    <w:rsid w:val="009F1DF4"/>
    <w:rsid w:val="00A009CF"/>
    <w:rsid w:val="00A017AB"/>
    <w:rsid w:val="00A02F58"/>
    <w:rsid w:val="00A0498F"/>
    <w:rsid w:val="00A0603A"/>
    <w:rsid w:val="00A15100"/>
    <w:rsid w:val="00A15414"/>
    <w:rsid w:val="00A16B95"/>
    <w:rsid w:val="00A229D1"/>
    <w:rsid w:val="00A25305"/>
    <w:rsid w:val="00A2728E"/>
    <w:rsid w:val="00A30AEA"/>
    <w:rsid w:val="00A30E3E"/>
    <w:rsid w:val="00A3179F"/>
    <w:rsid w:val="00A320C7"/>
    <w:rsid w:val="00A328AA"/>
    <w:rsid w:val="00A32BA4"/>
    <w:rsid w:val="00A37E61"/>
    <w:rsid w:val="00A43DDC"/>
    <w:rsid w:val="00A45320"/>
    <w:rsid w:val="00A52A6D"/>
    <w:rsid w:val="00A545F1"/>
    <w:rsid w:val="00A54603"/>
    <w:rsid w:val="00A627CF"/>
    <w:rsid w:val="00A650C7"/>
    <w:rsid w:val="00A65616"/>
    <w:rsid w:val="00A6750C"/>
    <w:rsid w:val="00A7275E"/>
    <w:rsid w:val="00A7684A"/>
    <w:rsid w:val="00A83049"/>
    <w:rsid w:val="00A83106"/>
    <w:rsid w:val="00A83E44"/>
    <w:rsid w:val="00A87AD9"/>
    <w:rsid w:val="00A90F28"/>
    <w:rsid w:val="00A92BF1"/>
    <w:rsid w:val="00A94012"/>
    <w:rsid w:val="00AA3F55"/>
    <w:rsid w:val="00AA47AB"/>
    <w:rsid w:val="00AB201C"/>
    <w:rsid w:val="00AB2D4E"/>
    <w:rsid w:val="00AB449F"/>
    <w:rsid w:val="00AB69B0"/>
    <w:rsid w:val="00AC14ED"/>
    <w:rsid w:val="00AC2830"/>
    <w:rsid w:val="00AC3A17"/>
    <w:rsid w:val="00AC4B38"/>
    <w:rsid w:val="00AC60AB"/>
    <w:rsid w:val="00AC7CD2"/>
    <w:rsid w:val="00AD04EC"/>
    <w:rsid w:val="00AD0553"/>
    <w:rsid w:val="00AD33D3"/>
    <w:rsid w:val="00AE22B8"/>
    <w:rsid w:val="00AE4BDC"/>
    <w:rsid w:val="00AE6CAC"/>
    <w:rsid w:val="00AE7CCD"/>
    <w:rsid w:val="00AF3438"/>
    <w:rsid w:val="00B0144D"/>
    <w:rsid w:val="00B03F17"/>
    <w:rsid w:val="00B07D56"/>
    <w:rsid w:val="00B1103A"/>
    <w:rsid w:val="00B12904"/>
    <w:rsid w:val="00B129AA"/>
    <w:rsid w:val="00B12AC4"/>
    <w:rsid w:val="00B140EA"/>
    <w:rsid w:val="00B225A6"/>
    <w:rsid w:val="00B22962"/>
    <w:rsid w:val="00B22B6A"/>
    <w:rsid w:val="00B25230"/>
    <w:rsid w:val="00B26D5B"/>
    <w:rsid w:val="00B27C6F"/>
    <w:rsid w:val="00B30FBE"/>
    <w:rsid w:val="00B32D40"/>
    <w:rsid w:val="00B349BA"/>
    <w:rsid w:val="00B409EC"/>
    <w:rsid w:val="00B4508F"/>
    <w:rsid w:val="00B45DB9"/>
    <w:rsid w:val="00B4765C"/>
    <w:rsid w:val="00B51482"/>
    <w:rsid w:val="00B52482"/>
    <w:rsid w:val="00B60544"/>
    <w:rsid w:val="00B6083D"/>
    <w:rsid w:val="00B62B52"/>
    <w:rsid w:val="00B75497"/>
    <w:rsid w:val="00B91DC1"/>
    <w:rsid w:val="00B929A4"/>
    <w:rsid w:val="00B9479B"/>
    <w:rsid w:val="00B959C2"/>
    <w:rsid w:val="00B95A73"/>
    <w:rsid w:val="00B9799D"/>
    <w:rsid w:val="00BA0DE5"/>
    <w:rsid w:val="00BA7B22"/>
    <w:rsid w:val="00BB10EF"/>
    <w:rsid w:val="00BB1A6E"/>
    <w:rsid w:val="00BB393D"/>
    <w:rsid w:val="00BB506C"/>
    <w:rsid w:val="00BB752D"/>
    <w:rsid w:val="00BB765D"/>
    <w:rsid w:val="00BC4777"/>
    <w:rsid w:val="00BD1DFD"/>
    <w:rsid w:val="00BD4F02"/>
    <w:rsid w:val="00BD5838"/>
    <w:rsid w:val="00BD5FB9"/>
    <w:rsid w:val="00BD67D8"/>
    <w:rsid w:val="00BE45E8"/>
    <w:rsid w:val="00BE4EE3"/>
    <w:rsid w:val="00BE7944"/>
    <w:rsid w:val="00BF0850"/>
    <w:rsid w:val="00BF0A00"/>
    <w:rsid w:val="00BF0D00"/>
    <w:rsid w:val="00BF3EAC"/>
    <w:rsid w:val="00C003BE"/>
    <w:rsid w:val="00C10A83"/>
    <w:rsid w:val="00C10D33"/>
    <w:rsid w:val="00C112A7"/>
    <w:rsid w:val="00C11B8A"/>
    <w:rsid w:val="00C13A0B"/>
    <w:rsid w:val="00C15C43"/>
    <w:rsid w:val="00C15E4A"/>
    <w:rsid w:val="00C201FD"/>
    <w:rsid w:val="00C22796"/>
    <w:rsid w:val="00C259AE"/>
    <w:rsid w:val="00C267C4"/>
    <w:rsid w:val="00C27FC2"/>
    <w:rsid w:val="00C3456D"/>
    <w:rsid w:val="00C40459"/>
    <w:rsid w:val="00C40584"/>
    <w:rsid w:val="00C46E3D"/>
    <w:rsid w:val="00C53A0F"/>
    <w:rsid w:val="00C543FD"/>
    <w:rsid w:val="00C54548"/>
    <w:rsid w:val="00C545DE"/>
    <w:rsid w:val="00C62C29"/>
    <w:rsid w:val="00C65F27"/>
    <w:rsid w:val="00C674E0"/>
    <w:rsid w:val="00C67CE5"/>
    <w:rsid w:val="00C70DD6"/>
    <w:rsid w:val="00C73223"/>
    <w:rsid w:val="00C74D89"/>
    <w:rsid w:val="00C80B9F"/>
    <w:rsid w:val="00C80C1C"/>
    <w:rsid w:val="00C85BC3"/>
    <w:rsid w:val="00C86FC9"/>
    <w:rsid w:val="00C93B72"/>
    <w:rsid w:val="00C969AD"/>
    <w:rsid w:val="00C96E1C"/>
    <w:rsid w:val="00CA5A4A"/>
    <w:rsid w:val="00CA6E26"/>
    <w:rsid w:val="00CB1131"/>
    <w:rsid w:val="00CB2AD9"/>
    <w:rsid w:val="00CB3E54"/>
    <w:rsid w:val="00CB56DA"/>
    <w:rsid w:val="00CB65FD"/>
    <w:rsid w:val="00CB68FB"/>
    <w:rsid w:val="00CB73D3"/>
    <w:rsid w:val="00CC0C91"/>
    <w:rsid w:val="00CC1C0A"/>
    <w:rsid w:val="00CC2481"/>
    <w:rsid w:val="00CD3853"/>
    <w:rsid w:val="00CD4341"/>
    <w:rsid w:val="00CE0E11"/>
    <w:rsid w:val="00CE1001"/>
    <w:rsid w:val="00CE1482"/>
    <w:rsid w:val="00CE2D82"/>
    <w:rsid w:val="00CE38BE"/>
    <w:rsid w:val="00CE497E"/>
    <w:rsid w:val="00CE63E9"/>
    <w:rsid w:val="00CE6F2E"/>
    <w:rsid w:val="00CF5454"/>
    <w:rsid w:val="00CF7D4A"/>
    <w:rsid w:val="00D011EE"/>
    <w:rsid w:val="00D012EF"/>
    <w:rsid w:val="00D01593"/>
    <w:rsid w:val="00D01B42"/>
    <w:rsid w:val="00D10933"/>
    <w:rsid w:val="00D12CE9"/>
    <w:rsid w:val="00D17E98"/>
    <w:rsid w:val="00D238B3"/>
    <w:rsid w:val="00D24C58"/>
    <w:rsid w:val="00D31000"/>
    <w:rsid w:val="00D32F18"/>
    <w:rsid w:val="00D36564"/>
    <w:rsid w:val="00D4287E"/>
    <w:rsid w:val="00D4725A"/>
    <w:rsid w:val="00D47C74"/>
    <w:rsid w:val="00D54B8C"/>
    <w:rsid w:val="00D56667"/>
    <w:rsid w:val="00D576EA"/>
    <w:rsid w:val="00D62D69"/>
    <w:rsid w:val="00D62DCA"/>
    <w:rsid w:val="00D636AB"/>
    <w:rsid w:val="00D70C93"/>
    <w:rsid w:val="00D73660"/>
    <w:rsid w:val="00D84B7B"/>
    <w:rsid w:val="00D86142"/>
    <w:rsid w:val="00D86700"/>
    <w:rsid w:val="00D925E1"/>
    <w:rsid w:val="00D9322B"/>
    <w:rsid w:val="00D94C38"/>
    <w:rsid w:val="00DA1224"/>
    <w:rsid w:val="00DA2DB9"/>
    <w:rsid w:val="00DA42BC"/>
    <w:rsid w:val="00DA5412"/>
    <w:rsid w:val="00DA639A"/>
    <w:rsid w:val="00DA6F24"/>
    <w:rsid w:val="00DB24F0"/>
    <w:rsid w:val="00DB520B"/>
    <w:rsid w:val="00DB5649"/>
    <w:rsid w:val="00DC4D45"/>
    <w:rsid w:val="00DC57D0"/>
    <w:rsid w:val="00DC7EFC"/>
    <w:rsid w:val="00DD0838"/>
    <w:rsid w:val="00DD4278"/>
    <w:rsid w:val="00DE455A"/>
    <w:rsid w:val="00DE6FFB"/>
    <w:rsid w:val="00DF15E6"/>
    <w:rsid w:val="00DF29D8"/>
    <w:rsid w:val="00DF5701"/>
    <w:rsid w:val="00DF5D30"/>
    <w:rsid w:val="00DF6BAA"/>
    <w:rsid w:val="00E034DE"/>
    <w:rsid w:val="00E03D30"/>
    <w:rsid w:val="00E0415D"/>
    <w:rsid w:val="00E13EFE"/>
    <w:rsid w:val="00E15FD1"/>
    <w:rsid w:val="00E1634C"/>
    <w:rsid w:val="00E2035D"/>
    <w:rsid w:val="00E24473"/>
    <w:rsid w:val="00E25948"/>
    <w:rsid w:val="00E37529"/>
    <w:rsid w:val="00E427FC"/>
    <w:rsid w:val="00E4433F"/>
    <w:rsid w:val="00E464DF"/>
    <w:rsid w:val="00E5335C"/>
    <w:rsid w:val="00E6068C"/>
    <w:rsid w:val="00E62ED0"/>
    <w:rsid w:val="00E635E8"/>
    <w:rsid w:val="00E659E9"/>
    <w:rsid w:val="00E70B57"/>
    <w:rsid w:val="00E81C82"/>
    <w:rsid w:val="00E862FC"/>
    <w:rsid w:val="00E918AD"/>
    <w:rsid w:val="00E94DC0"/>
    <w:rsid w:val="00E95F53"/>
    <w:rsid w:val="00E97DE4"/>
    <w:rsid w:val="00EA11F2"/>
    <w:rsid w:val="00EA397D"/>
    <w:rsid w:val="00EA7810"/>
    <w:rsid w:val="00EB0E7C"/>
    <w:rsid w:val="00EB2CB4"/>
    <w:rsid w:val="00EB6333"/>
    <w:rsid w:val="00EB77EC"/>
    <w:rsid w:val="00EC576D"/>
    <w:rsid w:val="00EC5F23"/>
    <w:rsid w:val="00ED0833"/>
    <w:rsid w:val="00ED42F3"/>
    <w:rsid w:val="00ED4508"/>
    <w:rsid w:val="00ED7223"/>
    <w:rsid w:val="00EE40FB"/>
    <w:rsid w:val="00EE4D9E"/>
    <w:rsid w:val="00EE71BC"/>
    <w:rsid w:val="00EF07F0"/>
    <w:rsid w:val="00EF4749"/>
    <w:rsid w:val="00EF5DD6"/>
    <w:rsid w:val="00F0019E"/>
    <w:rsid w:val="00F01F8C"/>
    <w:rsid w:val="00F0215B"/>
    <w:rsid w:val="00F036CD"/>
    <w:rsid w:val="00F036DD"/>
    <w:rsid w:val="00F03833"/>
    <w:rsid w:val="00F0470B"/>
    <w:rsid w:val="00F05D40"/>
    <w:rsid w:val="00F0735D"/>
    <w:rsid w:val="00F07920"/>
    <w:rsid w:val="00F133E9"/>
    <w:rsid w:val="00F15227"/>
    <w:rsid w:val="00F20D6C"/>
    <w:rsid w:val="00F247F3"/>
    <w:rsid w:val="00F25F8B"/>
    <w:rsid w:val="00F2724B"/>
    <w:rsid w:val="00F276D3"/>
    <w:rsid w:val="00F320EC"/>
    <w:rsid w:val="00F35194"/>
    <w:rsid w:val="00F36AD8"/>
    <w:rsid w:val="00F36DCE"/>
    <w:rsid w:val="00F43886"/>
    <w:rsid w:val="00F4481B"/>
    <w:rsid w:val="00F55A99"/>
    <w:rsid w:val="00F61D6D"/>
    <w:rsid w:val="00F62CCD"/>
    <w:rsid w:val="00F64BC9"/>
    <w:rsid w:val="00F73578"/>
    <w:rsid w:val="00F74DFC"/>
    <w:rsid w:val="00F7539B"/>
    <w:rsid w:val="00F7672F"/>
    <w:rsid w:val="00F82417"/>
    <w:rsid w:val="00F873FE"/>
    <w:rsid w:val="00F87BF0"/>
    <w:rsid w:val="00F9086A"/>
    <w:rsid w:val="00F92EB5"/>
    <w:rsid w:val="00F93E56"/>
    <w:rsid w:val="00F941A7"/>
    <w:rsid w:val="00F9648E"/>
    <w:rsid w:val="00F9748F"/>
    <w:rsid w:val="00F974D0"/>
    <w:rsid w:val="00F974F0"/>
    <w:rsid w:val="00FA0425"/>
    <w:rsid w:val="00FA6998"/>
    <w:rsid w:val="00FA6F86"/>
    <w:rsid w:val="00FB1CB4"/>
    <w:rsid w:val="00FB3378"/>
    <w:rsid w:val="00FB69F5"/>
    <w:rsid w:val="00FB6B83"/>
    <w:rsid w:val="00FB6EC5"/>
    <w:rsid w:val="00FC0DE0"/>
    <w:rsid w:val="00FC7185"/>
    <w:rsid w:val="00FE2A33"/>
    <w:rsid w:val="00FF3112"/>
    <w:rsid w:val="00FF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  <w15:docId w15:val="{CA0E1456-C356-4F11-9432-BDCAA13AB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9D1"/>
    <w:rPr>
      <w:rFonts w:ascii="Arial" w:hAnsi="Arial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229D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229D1"/>
  </w:style>
  <w:style w:type="paragraph" w:styleId="Title">
    <w:name w:val="Title"/>
    <w:basedOn w:val="Normal"/>
    <w:qFormat/>
    <w:rsid w:val="00A229D1"/>
    <w:pPr>
      <w:spacing w:line="480" w:lineRule="auto"/>
      <w:jc w:val="center"/>
    </w:pPr>
    <w:rPr>
      <w:b/>
    </w:rPr>
  </w:style>
  <w:style w:type="paragraph" w:customStyle="1" w:styleId="Default">
    <w:name w:val="Default"/>
    <w:rsid w:val="00A229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rsid w:val="00327453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55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036DD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sid w:val="00372803"/>
    <w:rPr>
      <w:rFonts w:ascii="Arial" w:hAnsi="Arial"/>
      <w:sz w:val="26"/>
    </w:rPr>
  </w:style>
  <w:style w:type="paragraph" w:styleId="ListParagraph">
    <w:name w:val="List Paragraph"/>
    <w:basedOn w:val="Normal"/>
    <w:uiPriority w:val="34"/>
    <w:qFormat/>
    <w:rsid w:val="00A02F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58725-036F-4F16-AB38-D364C069D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814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preparing this report the relevance of the following factors has been considered: prevention of crime and disorder, equalit</vt:lpstr>
    </vt:vector>
  </TitlesOfParts>
  <Company>Derbyshire County Council</Company>
  <LinksUpToDate>false</LinksUpToDate>
  <CharactersWithSpaces>5236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 724 Schools Forum 2017-18 DSG Monitoring v1</dc:title>
  <dc:creator>Karen Gurney</dc:creator>
  <cp:lastModifiedBy>Jo Armstrong</cp:lastModifiedBy>
  <cp:revision>12</cp:revision>
  <cp:lastPrinted>2017-06-01T08:40:00Z</cp:lastPrinted>
  <dcterms:created xsi:type="dcterms:W3CDTF">2017-12-05T16:09:00Z</dcterms:created>
  <dcterms:modified xsi:type="dcterms:W3CDTF">2017-12-19T14:31:42Z</dcterms:modified>
  <cp:keywords>
  </cp:keywords>
  <dc:subject>
  </dc:subject>
</cp:coreProperties>
</file>