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1C0E24" w:rsidR="00B73C3D" w:rsidP="00B73C3D" w:rsidRDefault="0000788A">
      <w:pPr>
        <w:ind w:left="709"/>
        <w:rPr>
          <w:rFonts w:ascii="Arial" w:hAnsi="Arial" w:cs="Arial"/>
          <w:szCs w:val="24"/>
        </w:rPr>
      </w:pPr>
      <w:r w:rsidRPr="001C0E24">
        <w:rPr>
          <w:rFonts w:ascii="Arial" w:hAnsi="Arial" w:cs="Arial"/>
          <w:b/>
          <w:noProof/>
          <w:szCs w:val="24"/>
          <w:u w:val="single"/>
          <w:lang w:eastAsia="en-GB"/>
        </w:rPr>
        <mc:AlternateContent>
          <mc:Choice Requires="wps">
            <w:drawing>
              <wp:anchor distT="0" distB="0" distL="114300" distR="114300" simplePos="0" relativeHeight="251661312" behindDoc="0" locked="0" layoutInCell="1" allowOverlap="1" wp14:editId="3AC343BA" wp14:anchorId="5F1EC6F3">
                <wp:simplePos x="0" y="0"/>
                <wp:positionH relativeFrom="column">
                  <wp:posOffset>378460</wp:posOffset>
                </wp:positionH>
                <wp:positionV relativeFrom="paragraph">
                  <wp:posOffset>-55245</wp:posOffset>
                </wp:positionV>
                <wp:extent cx="1191259" cy="630554"/>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1259" cy="630554"/>
                        </a:xfrm>
                        <a:prstGeom prst="rect">
                          <a:avLst/>
                        </a:prstGeom>
                        <a:noFill/>
                        <a:ln w="9525">
                          <a:noFill/>
                          <a:miter lim="800000"/>
                          <a:headEnd/>
                          <a:tailEnd/>
                        </a:ln>
                      </wps:spPr>
                      <wps:txbx>
                        <w:txbxContent>
                          <w:p w:rsidRPr="0000788A" w:rsidR="00980038" w:rsidP="0000788A" w:rsidRDefault="00980038">
                            <w:pPr>
                              <w:rPr>
                                <w:rFonts w:ascii="Arial" w:hAnsi="Arial" w:cs="Arial"/>
                                <w:szCs w:val="24"/>
                              </w:rPr>
                            </w:pPr>
                            <w:r>
                              <w:rPr>
                                <w:rFonts w:ascii="Arial" w:hAnsi="Arial" w:cs="Arial"/>
                                <w:szCs w:val="24"/>
                              </w:rPr>
                              <w:t>Rep 723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w14:anchorId="5F1EC6F3">
                <v:stroke joinstyle="miter"/>
                <v:path gradientshapeok="t" o:connecttype="rect"/>
              </v:shapetype>
              <v:shape id="Text Box 2" style="position:absolute;left:0;text-align:left;margin-left:29.8pt;margin-top:-4.35pt;width:93.8pt;height:49.6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">
                <v:textbox style="mso-fit-shape-to-text:t">
                  <w:txbxContent>
                    <w:p w:rsidRPr="0000788A" w:rsidR="00980038" w:rsidP="0000788A" w:rsidRDefault="00980038">
                      <w:pPr>
                        <w:rPr>
                          <w:rFonts w:ascii="Arial" w:hAnsi="Arial" w:cs="Arial"/>
                          <w:szCs w:val="24"/>
                        </w:rPr>
                      </w:pPr>
                      <w:r>
                        <w:rPr>
                          <w:rFonts w:ascii="Arial" w:hAnsi="Arial" w:cs="Arial"/>
                          <w:szCs w:val="24"/>
                        </w:rPr>
                        <w:t>Rep 723</w:t>
                      </w:r>
                    </w:p>
                  </w:txbxContent>
                </v:textbox>
              </v:shape>
            </w:pict>
          </mc:Fallback>
        </mc:AlternateContent>
      </w:r>
      <w:r w:rsidRPr="001C0E24" w:rsidR="00B73C3D">
        <w:rPr>
          <w:rFonts w:ascii="Arial" w:hAnsi="Arial" w:cs="Arial"/>
          <w:b/>
          <w:noProof/>
          <w:szCs w:val="24"/>
          <w:u w:val="single"/>
          <w:lang w:eastAsia="en-GB"/>
        </w:rPr>
        <mc:AlternateContent>
          <mc:Choice Requires="wps">
            <w:drawing>
              <wp:anchor distT="0" distB="0" distL="114300" distR="114300" simplePos="0" relativeHeight="251659264" behindDoc="0" locked="0" layoutInCell="1" allowOverlap="1" wp14:editId="58D0D8EC" wp14:anchorId="2436791B">
                <wp:simplePos x="0" y="0"/>
                <wp:positionH relativeFrom="column">
                  <wp:posOffset>5383392</wp:posOffset>
                </wp:positionH>
                <wp:positionV relativeFrom="paragraph">
                  <wp:posOffset>-58420</wp:posOffset>
                </wp:positionV>
                <wp:extent cx="1190625" cy="1403985"/>
                <wp:effectExtent l="0" t="0" r="0" b="571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1403985"/>
                        </a:xfrm>
                        <a:prstGeom prst="rect">
                          <a:avLst/>
                        </a:prstGeom>
                        <a:noFill/>
                        <a:ln w="9525">
                          <a:noFill/>
                          <a:miter lim="800000"/>
                          <a:headEnd/>
                          <a:tailEnd/>
                        </a:ln>
                      </wps:spPr>
                      <wps:txbx>
                        <w:txbxContent>
                          <w:p w:rsidRPr="0000788A" w:rsidR="00980038" w:rsidP="00B73C3D" w:rsidRDefault="00980038">
                            <w:pPr>
                              <w:rPr>
                                <w:rFonts w:ascii="Arial" w:hAnsi="Arial" w:cs="Arial"/>
                                <w:szCs w:val="24"/>
                              </w:rPr>
                            </w:pPr>
                            <w:r w:rsidRPr="0000788A">
                              <w:rPr>
                                <w:rFonts w:ascii="Arial" w:hAnsi="Arial" w:cs="Arial"/>
                                <w:szCs w:val="24"/>
                              </w:rPr>
                              <w:t xml:space="preserve">Agenda item </w:t>
                            </w:r>
                            <w:r>
                              <w:rPr>
                                <w:rFonts w:ascii="Arial" w:hAnsi="Arial" w:cs="Arial"/>
                                <w:szCs w:val="24"/>
                              </w:rPr>
                              <w:t>x</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style="position:absolute;left:0;text-align:left;margin-left:423.9pt;margin-top:-4.6pt;width:93.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" w14:anchorId="2436791B">
                <v:textbox style="mso-fit-shape-to-text:t">
                  <w:txbxContent>
                    <w:p w:rsidRPr="0000788A" w:rsidR="00980038" w:rsidP="00B73C3D" w:rsidRDefault="00980038">
                      <w:pPr>
                        <w:rPr>
                          <w:rFonts w:ascii="Arial" w:hAnsi="Arial" w:cs="Arial"/>
                          <w:szCs w:val="24"/>
                        </w:rPr>
                      </w:pPr>
                      <w:r w:rsidRPr="0000788A">
                        <w:rPr>
                          <w:rFonts w:ascii="Arial" w:hAnsi="Arial" w:cs="Arial"/>
                          <w:szCs w:val="24"/>
                        </w:rPr>
                        <w:t xml:space="preserve">Agenda item </w:t>
                      </w:r>
                      <w:r>
                        <w:rPr>
                          <w:rFonts w:ascii="Arial" w:hAnsi="Arial" w:cs="Arial"/>
                          <w:szCs w:val="24"/>
                        </w:rPr>
                        <w:t>x</w:t>
                      </w:r>
                    </w:p>
                  </w:txbxContent>
                </v:textbox>
              </v:shape>
            </w:pict>
          </mc:Fallback>
        </mc:AlternateContent>
      </w:r>
    </w:p>
    <w:p w:rsidRPr="001C0E24" w:rsidR="00B73C3D" w:rsidP="00B73C3D" w:rsidRDefault="00B73C3D">
      <w:pPr>
        <w:ind w:left="709"/>
        <w:jc w:val="center"/>
        <w:rPr>
          <w:rFonts w:ascii="Arial" w:hAnsi="Arial" w:cs="Arial"/>
          <w:sz w:val="26"/>
          <w:szCs w:val="26"/>
          <w:u w:val="single"/>
        </w:rPr>
      </w:pPr>
      <w:r w:rsidRPr="001C0E24">
        <w:rPr>
          <w:rFonts w:ascii="Arial" w:hAnsi="Arial" w:cs="Arial"/>
          <w:sz w:val="26"/>
          <w:szCs w:val="26"/>
          <w:u w:val="single"/>
        </w:rPr>
        <w:t>DERBYSHIRE COUNTY COUNCIL</w:t>
      </w:r>
    </w:p>
    <w:p w:rsidRPr="001C0E24" w:rsidR="00B73C3D" w:rsidP="00980038" w:rsidRDefault="00B73C3D">
      <w:pPr>
        <w:spacing w:after="120"/>
        <w:jc w:val="center"/>
        <w:rPr>
          <w:rFonts w:ascii="Arial" w:hAnsi="Arial" w:cs="Arial"/>
          <w:sz w:val="26"/>
          <w:szCs w:val="26"/>
          <w:u w:val="single"/>
        </w:rPr>
      </w:pPr>
      <w:r w:rsidRPr="001C0E24">
        <w:rPr>
          <w:rFonts w:ascii="Arial" w:hAnsi="Arial" w:cs="Arial"/>
          <w:sz w:val="26"/>
          <w:szCs w:val="26"/>
          <w:u w:val="single"/>
        </w:rPr>
        <w:t xml:space="preserve">SCHOOLS FORUM </w:t>
      </w:r>
    </w:p>
    <w:p w:rsidRPr="001C0E24" w:rsidR="00B73C3D" w:rsidP="00980038" w:rsidRDefault="00980038">
      <w:pPr>
        <w:spacing w:after="120"/>
        <w:jc w:val="center"/>
        <w:rPr>
          <w:rFonts w:ascii="Arial" w:hAnsi="Arial" w:cs="Arial"/>
          <w:sz w:val="26"/>
          <w:szCs w:val="26"/>
          <w:u w:val="single"/>
        </w:rPr>
      </w:pPr>
      <w:r w:rsidRPr="001C0E24">
        <w:rPr>
          <w:rFonts w:ascii="Arial" w:hAnsi="Arial" w:cs="Arial"/>
          <w:sz w:val="26"/>
          <w:szCs w:val="26"/>
          <w:u w:val="single"/>
        </w:rPr>
        <w:t>14th December 2017</w:t>
      </w:r>
    </w:p>
    <w:p w:rsidRPr="001C0E24" w:rsidR="00B73C3D" w:rsidP="00980038" w:rsidRDefault="00B73C3D">
      <w:pPr>
        <w:spacing w:after="120"/>
        <w:jc w:val="center"/>
        <w:rPr>
          <w:rFonts w:ascii="Arial" w:hAnsi="Arial" w:cs="Arial"/>
          <w:sz w:val="26"/>
          <w:szCs w:val="26"/>
          <w:u w:val="single"/>
        </w:rPr>
      </w:pPr>
      <w:r w:rsidRPr="001C0E24">
        <w:rPr>
          <w:rFonts w:ascii="Arial" w:hAnsi="Arial" w:cs="Arial"/>
          <w:sz w:val="26"/>
          <w:szCs w:val="26"/>
          <w:u w:val="single"/>
        </w:rPr>
        <w:t>Report of the Strategic Director for Children</w:t>
      </w:r>
      <w:r w:rsidRPr="001C0E24" w:rsidR="00E352A1">
        <w:rPr>
          <w:rFonts w:ascii="Arial" w:hAnsi="Arial" w:cs="Arial"/>
          <w:sz w:val="26"/>
          <w:szCs w:val="26"/>
          <w:u w:val="single"/>
        </w:rPr>
        <w:t>’s Services</w:t>
      </w:r>
    </w:p>
    <w:p w:rsidRPr="001C0E24" w:rsidR="00B73C3D" w:rsidP="00980038" w:rsidRDefault="00980038">
      <w:pPr>
        <w:spacing w:after="120"/>
        <w:jc w:val="center"/>
        <w:rPr>
          <w:rFonts w:ascii="Arial" w:hAnsi="Arial" w:cs="Arial"/>
          <w:sz w:val="26"/>
          <w:szCs w:val="26"/>
          <w:u w:val="single"/>
        </w:rPr>
      </w:pPr>
      <w:r w:rsidRPr="001C0E24">
        <w:rPr>
          <w:rFonts w:ascii="Arial" w:hAnsi="Arial" w:cs="Arial"/>
          <w:sz w:val="26"/>
          <w:szCs w:val="26"/>
          <w:u w:val="single"/>
        </w:rPr>
        <w:t xml:space="preserve">Responses to </w:t>
      </w:r>
      <w:r w:rsidRPr="001C0E24" w:rsidR="00A26081">
        <w:rPr>
          <w:rFonts w:ascii="Arial" w:hAnsi="Arial" w:cs="Arial"/>
          <w:sz w:val="26"/>
          <w:szCs w:val="26"/>
          <w:u w:val="single"/>
        </w:rPr>
        <w:t xml:space="preserve">the LA’s </w:t>
      </w:r>
      <w:r w:rsidRPr="001C0E24" w:rsidR="006A7B39">
        <w:rPr>
          <w:rFonts w:ascii="Arial" w:hAnsi="Arial" w:cs="Arial"/>
          <w:sz w:val="26"/>
          <w:szCs w:val="26"/>
          <w:u w:val="single"/>
        </w:rPr>
        <w:t xml:space="preserve">Mainstream </w:t>
      </w:r>
      <w:r w:rsidRPr="001C0E24" w:rsidR="00B73C3D">
        <w:rPr>
          <w:rFonts w:ascii="Arial" w:hAnsi="Arial" w:cs="Arial"/>
          <w:sz w:val="26"/>
          <w:szCs w:val="26"/>
          <w:u w:val="single"/>
        </w:rPr>
        <w:t>Formula Consultation</w:t>
      </w:r>
    </w:p>
    <w:p w:rsidRPr="001C0E24" w:rsidR="00B73C3D" w:rsidP="00B73C3D" w:rsidRDefault="00B73C3D">
      <w:pPr>
        <w:ind w:left="709"/>
        <w:rPr>
          <w:rFonts w:ascii="Arial" w:hAnsi="Arial" w:cs="Arial"/>
          <w:sz w:val="8"/>
          <w:szCs w:val="26"/>
        </w:rPr>
      </w:pPr>
    </w:p>
    <w:p w:rsidRPr="001C0E24" w:rsidR="00B73C3D" w:rsidP="00F101F1" w:rsidRDefault="00B73C3D">
      <w:pPr>
        <w:numPr>
          <w:ilvl w:val="0"/>
          <w:numId w:val="8"/>
        </w:numPr>
        <w:ind w:left="284" w:firstLine="0"/>
        <w:rPr>
          <w:rFonts w:ascii="Arial" w:hAnsi="Arial" w:cs="Arial"/>
          <w:b/>
          <w:sz w:val="26"/>
          <w:szCs w:val="26"/>
        </w:rPr>
      </w:pPr>
      <w:r w:rsidRPr="001C0E24">
        <w:rPr>
          <w:rFonts w:ascii="Arial" w:hAnsi="Arial" w:cs="Arial"/>
          <w:b/>
          <w:sz w:val="26"/>
          <w:szCs w:val="26"/>
          <w:u w:val="single"/>
        </w:rPr>
        <w:t>Purpose of the Report</w:t>
      </w:r>
    </w:p>
    <w:p w:rsidRPr="001C0E24" w:rsidR="00B73C3D" w:rsidP="00F101F1" w:rsidRDefault="00B73C3D">
      <w:pPr>
        <w:ind w:left="284"/>
        <w:rPr>
          <w:rFonts w:ascii="Arial" w:hAnsi="Arial" w:cs="Arial"/>
          <w:sz w:val="26"/>
          <w:szCs w:val="26"/>
        </w:rPr>
      </w:pPr>
    </w:p>
    <w:p w:rsidRPr="001C0E24" w:rsidR="00B73C3D" w:rsidP="00F101F1" w:rsidRDefault="00B73C3D">
      <w:pPr>
        <w:tabs>
          <w:tab w:val="left" w:pos="1418"/>
        </w:tabs>
        <w:ind w:left="284"/>
        <w:rPr>
          <w:rFonts w:ascii="Arial" w:hAnsi="Arial" w:cs="Arial"/>
          <w:sz w:val="26"/>
          <w:szCs w:val="26"/>
        </w:rPr>
      </w:pPr>
      <w:r w:rsidRPr="001C0E24">
        <w:rPr>
          <w:rFonts w:ascii="Arial" w:hAnsi="Arial" w:cs="Arial"/>
          <w:sz w:val="26"/>
          <w:szCs w:val="26"/>
        </w:rPr>
        <w:t xml:space="preserve">To </w:t>
      </w:r>
      <w:r w:rsidRPr="001C0E24" w:rsidR="00E352A1">
        <w:rPr>
          <w:rFonts w:ascii="Arial" w:hAnsi="Arial" w:cs="Arial"/>
          <w:sz w:val="26"/>
          <w:szCs w:val="26"/>
        </w:rPr>
        <w:t xml:space="preserve">inform </w:t>
      </w:r>
      <w:r w:rsidRPr="001C0E24">
        <w:rPr>
          <w:rFonts w:ascii="Arial" w:hAnsi="Arial" w:cs="Arial"/>
          <w:sz w:val="26"/>
          <w:szCs w:val="26"/>
        </w:rPr>
        <w:t xml:space="preserve">the </w:t>
      </w:r>
      <w:r w:rsidRPr="001C0E24" w:rsidR="00E352A1">
        <w:rPr>
          <w:rFonts w:ascii="Arial" w:hAnsi="Arial" w:cs="Arial"/>
          <w:sz w:val="26"/>
          <w:szCs w:val="26"/>
        </w:rPr>
        <w:t xml:space="preserve">Schools </w:t>
      </w:r>
      <w:r w:rsidRPr="001C0E24">
        <w:rPr>
          <w:rFonts w:ascii="Arial" w:hAnsi="Arial" w:cs="Arial"/>
          <w:sz w:val="26"/>
          <w:szCs w:val="26"/>
        </w:rPr>
        <w:t>Forum</w:t>
      </w:r>
      <w:r w:rsidRPr="001C0E24" w:rsidR="00E352A1">
        <w:rPr>
          <w:rFonts w:ascii="Arial" w:hAnsi="Arial" w:cs="Arial"/>
          <w:sz w:val="26"/>
          <w:szCs w:val="26"/>
        </w:rPr>
        <w:t xml:space="preserve"> of the responses from schools to the </w:t>
      </w:r>
      <w:r w:rsidRPr="001C0E24" w:rsidR="0074017A">
        <w:rPr>
          <w:rFonts w:ascii="Arial" w:hAnsi="Arial" w:cs="Arial"/>
          <w:sz w:val="26"/>
          <w:szCs w:val="26"/>
        </w:rPr>
        <w:t xml:space="preserve">Authority’s </w:t>
      </w:r>
      <w:r w:rsidRPr="001C0E24" w:rsidR="00E352A1">
        <w:rPr>
          <w:rFonts w:ascii="Arial" w:hAnsi="Arial" w:cs="Arial"/>
          <w:sz w:val="26"/>
          <w:szCs w:val="26"/>
        </w:rPr>
        <w:t>mainstream formula consultation</w:t>
      </w:r>
      <w:r w:rsidRPr="001C0E24">
        <w:rPr>
          <w:rFonts w:ascii="Arial" w:hAnsi="Arial" w:cs="Arial"/>
          <w:sz w:val="26"/>
          <w:szCs w:val="26"/>
        </w:rPr>
        <w:t xml:space="preserve">. </w:t>
      </w:r>
    </w:p>
    <w:p w:rsidRPr="001C0E24" w:rsidR="00B73C3D" w:rsidP="00F101F1" w:rsidRDefault="00B73C3D">
      <w:pPr>
        <w:tabs>
          <w:tab w:val="left" w:pos="1418"/>
        </w:tabs>
        <w:ind w:left="284"/>
        <w:rPr>
          <w:rFonts w:ascii="Arial" w:hAnsi="Arial" w:cs="Arial"/>
          <w:sz w:val="18"/>
          <w:szCs w:val="26"/>
        </w:rPr>
      </w:pPr>
    </w:p>
    <w:p w:rsidRPr="001C0E24" w:rsidR="00B73C3D" w:rsidP="00F101F1" w:rsidRDefault="00B73C3D">
      <w:pPr>
        <w:ind w:left="284"/>
        <w:rPr>
          <w:rFonts w:ascii="Arial" w:hAnsi="Arial" w:cs="Arial"/>
          <w:b/>
          <w:sz w:val="26"/>
          <w:szCs w:val="26"/>
        </w:rPr>
      </w:pPr>
      <w:r w:rsidRPr="001C0E24">
        <w:rPr>
          <w:rFonts w:ascii="Arial" w:hAnsi="Arial" w:cs="Arial"/>
          <w:b/>
          <w:sz w:val="26"/>
          <w:szCs w:val="26"/>
        </w:rPr>
        <w:t>2.</w:t>
      </w:r>
      <w:r w:rsidRPr="001C0E24">
        <w:rPr>
          <w:rFonts w:ascii="Arial" w:hAnsi="Arial" w:cs="Arial"/>
          <w:b/>
          <w:sz w:val="26"/>
          <w:szCs w:val="26"/>
        </w:rPr>
        <w:tab/>
      </w:r>
      <w:r w:rsidRPr="001C0E24">
        <w:rPr>
          <w:rFonts w:ascii="Arial" w:hAnsi="Arial" w:cs="Arial"/>
          <w:b/>
          <w:sz w:val="26"/>
          <w:szCs w:val="26"/>
          <w:u w:val="single"/>
        </w:rPr>
        <w:t>Information and Analysis</w:t>
      </w:r>
      <w:r w:rsidRPr="001C0E24">
        <w:rPr>
          <w:rFonts w:ascii="Arial" w:hAnsi="Arial" w:cs="Arial"/>
          <w:b/>
          <w:sz w:val="26"/>
          <w:szCs w:val="26"/>
        </w:rPr>
        <w:t xml:space="preserve"> </w:t>
      </w:r>
    </w:p>
    <w:p w:rsidRPr="001C0E24" w:rsidR="00B73C3D" w:rsidP="00F101F1" w:rsidRDefault="00B73C3D">
      <w:pPr>
        <w:tabs>
          <w:tab w:val="left" w:pos="1418"/>
        </w:tabs>
        <w:ind w:left="284"/>
        <w:rPr>
          <w:rFonts w:ascii="Arial" w:hAnsi="Arial" w:cs="Arial"/>
          <w:b/>
          <w:sz w:val="26"/>
          <w:szCs w:val="26"/>
        </w:rPr>
      </w:pPr>
    </w:p>
    <w:p w:rsidRPr="001C0E24" w:rsidR="00E352A1" w:rsidP="0074017A" w:rsidRDefault="00B73C3D">
      <w:pPr>
        <w:ind w:left="284"/>
        <w:rPr>
          <w:rFonts w:ascii="Arial" w:hAnsi="Arial" w:cs="Arial"/>
          <w:sz w:val="26"/>
          <w:szCs w:val="26"/>
        </w:rPr>
      </w:pPr>
      <w:r w:rsidRPr="001C0E24">
        <w:rPr>
          <w:rFonts w:ascii="Arial" w:hAnsi="Arial" w:cs="Arial"/>
          <w:sz w:val="26"/>
          <w:szCs w:val="26"/>
        </w:rPr>
        <w:t>The Authority published its mainstream formu</w:t>
      </w:r>
      <w:r w:rsidRPr="001C0E24" w:rsidR="00801195">
        <w:rPr>
          <w:rFonts w:ascii="Arial" w:hAnsi="Arial" w:cs="Arial"/>
          <w:sz w:val="26"/>
          <w:szCs w:val="26"/>
        </w:rPr>
        <w:t>la proposals for April 201</w:t>
      </w:r>
      <w:r w:rsidRPr="001C0E24" w:rsidR="00980038">
        <w:rPr>
          <w:rFonts w:ascii="Arial" w:hAnsi="Arial" w:cs="Arial"/>
          <w:sz w:val="26"/>
          <w:szCs w:val="26"/>
        </w:rPr>
        <w:t>8</w:t>
      </w:r>
      <w:r w:rsidRPr="001C0E24" w:rsidR="00801195">
        <w:rPr>
          <w:rFonts w:ascii="Arial" w:hAnsi="Arial" w:cs="Arial"/>
          <w:sz w:val="26"/>
          <w:szCs w:val="26"/>
        </w:rPr>
        <w:t xml:space="preserve"> on </w:t>
      </w:r>
      <w:r w:rsidRPr="001C0E24" w:rsidR="00980038">
        <w:rPr>
          <w:rFonts w:ascii="Arial" w:hAnsi="Arial" w:cs="Arial"/>
          <w:sz w:val="26"/>
          <w:szCs w:val="26"/>
        </w:rPr>
        <w:t>31</w:t>
      </w:r>
      <w:r w:rsidRPr="001C0E24" w:rsidR="00980038">
        <w:rPr>
          <w:rFonts w:ascii="Arial" w:hAnsi="Arial" w:cs="Arial"/>
          <w:sz w:val="26"/>
          <w:szCs w:val="26"/>
          <w:vertAlign w:val="superscript"/>
        </w:rPr>
        <w:t>st</w:t>
      </w:r>
      <w:r w:rsidRPr="001C0E24" w:rsidR="00980038">
        <w:rPr>
          <w:rFonts w:ascii="Arial" w:hAnsi="Arial" w:cs="Arial"/>
          <w:sz w:val="26"/>
          <w:szCs w:val="26"/>
        </w:rPr>
        <w:t xml:space="preserve"> October 2017</w:t>
      </w:r>
      <w:r w:rsidRPr="001C0E24">
        <w:rPr>
          <w:rFonts w:ascii="Arial" w:hAnsi="Arial" w:cs="Arial"/>
          <w:sz w:val="26"/>
          <w:szCs w:val="26"/>
        </w:rPr>
        <w:t>.</w:t>
      </w:r>
      <w:r w:rsidRPr="001C0E24" w:rsidR="00980038">
        <w:rPr>
          <w:rFonts w:ascii="Arial" w:hAnsi="Arial" w:cs="Arial"/>
          <w:sz w:val="26"/>
          <w:szCs w:val="26"/>
        </w:rPr>
        <w:t xml:space="preserve"> In summary the consultation proposed the following</w:t>
      </w:r>
      <w:r w:rsidRPr="001C0E24" w:rsidR="00E352A1">
        <w:rPr>
          <w:rFonts w:ascii="Arial" w:hAnsi="Arial" w:cs="Arial"/>
          <w:sz w:val="26"/>
          <w:szCs w:val="26"/>
        </w:rPr>
        <w:t>:</w:t>
      </w:r>
    </w:p>
    <w:p w:rsidRPr="001C0E24" w:rsidR="00980038" w:rsidP="0074017A" w:rsidRDefault="00980038">
      <w:pPr>
        <w:ind w:left="284"/>
        <w:rPr>
          <w:rFonts w:ascii="Arial" w:hAnsi="Arial" w:cs="Arial"/>
          <w:sz w:val="26"/>
          <w:szCs w:val="26"/>
        </w:rPr>
      </w:pPr>
    </w:p>
    <w:p w:rsidRPr="001C0E24" w:rsidR="00980038" w:rsidP="00980038" w:rsidRDefault="00980038">
      <w:pPr>
        <w:pStyle w:val="ListParagraph"/>
        <w:numPr>
          <w:ilvl w:val="0"/>
          <w:numId w:val="17"/>
        </w:numPr>
        <w:rPr>
          <w:rFonts w:ascii="Arial" w:hAnsi="Arial" w:cs="Arial"/>
          <w:sz w:val="26"/>
          <w:szCs w:val="26"/>
        </w:rPr>
      </w:pPr>
      <w:r w:rsidRPr="001C0E24">
        <w:rPr>
          <w:rFonts w:ascii="Arial" w:hAnsi="Arial" w:cs="Arial"/>
          <w:sz w:val="26"/>
          <w:szCs w:val="26"/>
        </w:rPr>
        <w:t>To move as far as possible towards introducing the National Funding Formula by April 2018;</w:t>
      </w:r>
    </w:p>
    <w:p w:rsidRPr="001C0E24" w:rsidR="00980038" w:rsidP="00980038" w:rsidRDefault="00980038">
      <w:pPr>
        <w:pStyle w:val="ListParagraph"/>
        <w:numPr>
          <w:ilvl w:val="0"/>
          <w:numId w:val="17"/>
        </w:numPr>
        <w:rPr>
          <w:rFonts w:ascii="Arial" w:hAnsi="Arial" w:cs="Arial"/>
          <w:sz w:val="26"/>
          <w:szCs w:val="26"/>
        </w:rPr>
      </w:pPr>
      <w:r w:rsidRPr="001C0E24">
        <w:rPr>
          <w:rFonts w:ascii="Arial" w:hAnsi="Arial" w:cs="Arial"/>
          <w:sz w:val="26"/>
          <w:szCs w:val="26"/>
        </w:rPr>
        <w:t>To apply minimum overall funding thresholds of £3,300 (primary) and £4,600 (secondary) for 2018-19;</w:t>
      </w:r>
    </w:p>
    <w:p w:rsidRPr="001C0E24" w:rsidR="00980038" w:rsidP="00980038" w:rsidRDefault="00980038">
      <w:pPr>
        <w:pStyle w:val="ListParagraph"/>
        <w:numPr>
          <w:ilvl w:val="0"/>
          <w:numId w:val="17"/>
        </w:numPr>
        <w:rPr>
          <w:rFonts w:ascii="Arial" w:hAnsi="Arial" w:cs="Arial"/>
          <w:sz w:val="26"/>
          <w:szCs w:val="26"/>
        </w:rPr>
      </w:pPr>
      <w:r w:rsidRPr="001C0E24">
        <w:rPr>
          <w:rFonts w:ascii="Arial" w:hAnsi="Arial" w:cs="Arial"/>
          <w:sz w:val="26"/>
          <w:szCs w:val="26"/>
        </w:rPr>
        <w:t>To set a Minimum Funding Guarantee of +0.5% per pupil for 2018-19;</w:t>
      </w:r>
      <w:r w:rsidRPr="001C0E24" w:rsidR="00A26081">
        <w:rPr>
          <w:rFonts w:ascii="Arial" w:hAnsi="Arial" w:cs="Arial"/>
          <w:sz w:val="26"/>
          <w:szCs w:val="26"/>
        </w:rPr>
        <w:t xml:space="preserve"> and</w:t>
      </w:r>
    </w:p>
    <w:p w:rsidRPr="001C0E24" w:rsidR="00980038" w:rsidP="00980038" w:rsidRDefault="00980038">
      <w:pPr>
        <w:pStyle w:val="ListParagraph"/>
        <w:numPr>
          <w:ilvl w:val="0"/>
          <w:numId w:val="17"/>
        </w:numPr>
        <w:rPr>
          <w:rFonts w:ascii="Arial" w:hAnsi="Arial" w:cs="Arial"/>
          <w:sz w:val="26"/>
          <w:szCs w:val="26"/>
        </w:rPr>
      </w:pPr>
      <w:r w:rsidRPr="001C0E24">
        <w:rPr>
          <w:rFonts w:ascii="Arial" w:hAnsi="Arial" w:cs="Arial"/>
          <w:sz w:val="26"/>
          <w:szCs w:val="26"/>
        </w:rPr>
        <w:t>To allow schools to gain up to 3% per pupil in 2018-19.</w:t>
      </w:r>
    </w:p>
    <w:p w:rsidRPr="001C0E24" w:rsidR="00980038" w:rsidP="0074017A" w:rsidRDefault="00980038">
      <w:pPr>
        <w:ind w:left="284"/>
        <w:rPr>
          <w:rFonts w:ascii="Arial" w:hAnsi="Arial" w:cs="Arial"/>
          <w:sz w:val="26"/>
          <w:szCs w:val="26"/>
        </w:rPr>
      </w:pPr>
    </w:p>
    <w:p w:rsidRPr="001C0E24" w:rsidR="00980038" w:rsidP="0074017A" w:rsidRDefault="00980038">
      <w:pPr>
        <w:ind w:left="284"/>
        <w:rPr>
          <w:rFonts w:ascii="Arial" w:hAnsi="Arial" w:cs="Arial"/>
          <w:sz w:val="26"/>
          <w:szCs w:val="26"/>
        </w:rPr>
      </w:pPr>
      <w:r w:rsidRPr="001C0E24">
        <w:rPr>
          <w:rFonts w:ascii="Arial" w:hAnsi="Arial" w:cs="Arial"/>
          <w:sz w:val="26"/>
          <w:szCs w:val="26"/>
        </w:rPr>
        <w:t xml:space="preserve">The consultation also asked for schools and academies’ views regarding the creation of further growth funds. A summary of the responses </w:t>
      </w:r>
      <w:r w:rsidRPr="001C0E24" w:rsidR="007F2DCB">
        <w:rPr>
          <w:rFonts w:ascii="Arial" w:hAnsi="Arial" w:cs="Arial"/>
          <w:sz w:val="26"/>
          <w:szCs w:val="26"/>
        </w:rPr>
        <w:t xml:space="preserve">requiring a yes/no/don’t know answer </w:t>
      </w:r>
      <w:r w:rsidRPr="001C0E24">
        <w:rPr>
          <w:rFonts w:ascii="Arial" w:hAnsi="Arial" w:cs="Arial"/>
          <w:sz w:val="26"/>
          <w:szCs w:val="26"/>
        </w:rPr>
        <w:t>is provided in the table below</w:t>
      </w:r>
      <w:r w:rsidRPr="001C0E24" w:rsidR="003133AC">
        <w:rPr>
          <w:rFonts w:ascii="Arial" w:hAnsi="Arial" w:cs="Arial"/>
          <w:sz w:val="26"/>
          <w:szCs w:val="26"/>
        </w:rPr>
        <w:t xml:space="preserve"> and a</w:t>
      </w:r>
      <w:r w:rsidRPr="001C0E24" w:rsidR="007F2DCB">
        <w:rPr>
          <w:rFonts w:ascii="Arial" w:hAnsi="Arial" w:cs="Arial"/>
          <w:sz w:val="26"/>
          <w:szCs w:val="26"/>
        </w:rPr>
        <w:t xml:space="preserve"> </w:t>
      </w:r>
      <w:r w:rsidRPr="001C0E24">
        <w:rPr>
          <w:rFonts w:ascii="Arial" w:hAnsi="Arial" w:cs="Arial"/>
          <w:sz w:val="26"/>
          <w:szCs w:val="26"/>
        </w:rPr>
        <w:t xml:space="preserve">sample of the </w:t>
      </w:r>
      <w:r w:rsidR="001C0E24">
        <w:rPr>
          <w:rFonts w:ascii="Arial" w:hAnsi="Arial" w:cs="Arial"/>
          <w:sz w:val="26"/>
          <w:szCs w:val="26"/>
        </w:rPr>
        <w:t xml:space="preserve">issues raised by </w:t>
      </w:r>
      <w:r w:rsidRPr="001C0E24">
        <w:rPr>
          <w:rFonts w:ascii="Arial" w:hAnsi="Arial" w:cs="Arial"/>
          <w:sz w:val="26"/>
          <w:szCs w:val="26"/>
        </w:rPr>
        <w:t xml:space="preserve">schools </w:t>
      </w:r>
      <w:r w:rsidRPr="001C0E24" w:rsidR="007F2DCB">
        <w:rPr>
          <w:rFonts w:ascii="Arial" w:hAnsi="Arial" w:cs="Arial"/>
          <w:sz w:val="26"/>
          <w:szCs w:val="26"/>
        </w:rPr>
        <w:t xml:space="preserve">on these and the other </w:t>
      </w:r>
      <w:r w:rsidR="0034390E">
        <w:rPr>
          <w:rFonts w:ascii="Arial" w:hAnsi="Arial" w:cs="Arial"/>
          <w:sz w:val="26"/>
          <w:szCs w:val="26"/>
        </w:rPr>
        <w:t xml:space="preserve">related </w:t>
      </w:r>
      <w:r w:rsidRPr="001C0E24" w:rsidR="007F2DCB">
        <w:rPr>
          <w:rFonts w:ascii="Arial" w:hAnsi="Arial" w:cs="Arial"/>
          <w:sz w:val="26"/>
          <w:szCs w:val="26"/>
        </w:rPr>
        <w:t xml:space="preserve">questions </w:t>
      </w:r>
      <w:r w:rsidRPr="001C0E24">
        <w:rPr>
          <w:rFonts w:ascii="Arial" w:hAnsi="Arial" w:cs="Arial"/>
          <w:sz w:val="26"/>
          <w:szCs w:val="26"/>
        </w:rPr>
        <w:t>is included at Appendix 1.</w:t>
      </w:r>
    </w:p>
    <w:p w:rsidRPr="001C0E24" w:rsidR="00E352A1" w:rsidP="00F101F1" w:rsidRDefault="00E352A1">
      <w:pPr>
        <w:tabs>
          <w:tab w:val="left" w:pos="1418"/>
        </w:tabs>
        <w:ind w:left="284" w:hanging="709"/>
        <w:rPr>
          <w:rFonts w:ascii="Arial" w:hAnsi="Arial" w:cs="Arial"/>
          <w:sz w:val="22"/>
          <w:szCs w:val="26"/>
        </w:rPr>
      </w:pPr>
      <w:r w:rsidRPr="001C0E24">
        <w:rPr>
          <w:rFonts w:ascii="Arial" w:hAnsi="Arial" w:cs="Arial"/>
          <w:sz w:val="26"/>
          <w:szCs w:val="26"/>
        </w:rPr>
        <w:tab/>
      </w:r>
    </w:p>
    <w:tbl>
      <w:tblPr>
        <w:tblStyle w:val="TableGrid"/>
        <w:tblW w:w="10774" w:type="dxa"/>
        <w:tblInd w:w="-289" w:type="dxa"/>
        <w:tblLayout w:type="fixed"/>
        <w:tblLook w:val="04A0" w:firstRow="1" w:lastRow="0" w:firstColumn="1" w:lastColumn="0" w:noHBand="0" w:noVBand="1"/>
      </w:tblPr>
      <w:tblGrid>
        <w:gridCol w:w="5387"/>
        <w:gridCol w:w="875"/>
        <w:gridCol w:w="826"/>
        <w:gridCol w:w="850"/>
        <w:gridCol w:w="256"/>
        <w:gridCol w:w="851"/>
        <w:gridCol w:w="850"/>
        <w:gridCol w:w="879"/>
      </w:tblGrid>
      <w:tr w:rsidRPr="001C0E24" w:rsidR="003133AC" w:rsidTr="003133AC">
        <w:tc>
          <w:tcPr>
            <w:tcW w:w="5387" w:type="dxa"/>
          </w:tcPr>
          <w:p w:rsidRPr="001C0E24" w:rsidR="003133AC" w:rsidP="00F101F1" w:rsidRDefault="003133AC">
            <w:pPr>
              <w:tabs>
                <w:tab w:val="left" w:pos="1418"/>
              </w:tabs>
              <w:rPr>
                <w:rFonts w:ascii="Arial" w:hAnsi="Arial" w:cs="Arial"/>
                <w:sz w:val="22"/>
              </w:rPr>
            </w:pPr>
          </w:p>
        </w:tc>
        <w:tc>
          <w:tcPr>
            <w:tcW w:w="2551" w:type="dxa"/>
            <w:gridSpan w:val="3"/>
          </w:tcPr>
          <w:p w:rsidRPr="001C0E24" w:rsidR="003133AC" w:rsidP="00980038" w:rsidRDefault="003133AC">
            <w:pPr>
              <w:tabs>
                <w:tab w:val="left" w:pos="1418"/>
              </w:tabs>
              <w:jc w:val="center"/>
              <w:rPr>
                <w:rFonts w:ascii="Arial" w:hAnsi="Arial" w:cs="Arial"/>
                <w:sz w:val="22"/>
              </w:rPr>
            </w:pPr>
            <w:r w:rsidRPr="001C0E24">
              <w:rPr>
                <w:rFonts w:ascii="Arial" w:hAnsi="Arial" w:cs="Arial"/>
                <w:sz w:val="22"/>
              </w:rPr>
              <w:t>Primary (44)</w:t>
            </w:r>
          </w:p>
        </w:tc>
        <w:tc>
          <w:tcPr>
            <w:tcW w:w="256" w:type="dxa"/>
            <w:shd w:val="clear" w:color="auto" w:fill="548DD4" w:themeFill="text2" w:themeFillTint="99"/>
          </w:tcPr>
          <w:p w:rsidRPr="001C0E24" w:rsidR="003133AC" w:rsidP="00980038" w:rsidRDefault="003133AC">
            <w:pPr>
              <w:tabs>
                <w:tab w:val="left" w:pos="1418"/>
              </w:tabs>
              <w:jc w:val="center"/>
              <w:rPr>
                <w:rFonts w:ascii="Arial" w:hAnsi="Arial" w:cs="Arial"/>
                <w:sz w:val="22"/>
              </w:rPr>
            </w:pPr>
          </w:p>
        </w:tc>
        <w:tc>
          <w:tcPr>
            <w:tcW w:w="2580" w:type="dxa"/>
            <w:gridSpan w:val="3"/>
          </w:tcPr>
          <w:p w:rsidRPr="001C0E24" w:rsidR="003133AC" w:rsidP="00980038" w:rsidRDefault="003133AC">
            <w:pPr>
              <w:tabs>
                <w:tab w:val="left" w:pos="1418"/>
              </w:tabs>
              <w:jc w:val="center"/>
              <w:rPr>
                <w:rFonts w:ascii="Arial" w:hAnsi="Arial" w:cs="Arial"/>
                <w:sz w:val="22"/>
              </w:rPr>
            </w:pPr>
            <w:r w:rsidRPr="001C0E24">
              <w:rPr>
                <w:rFonts w:ascii="Arial" w:hAnsi="Arial" w:cs="Arial"/>
                <w:sz w:val="22"/>
              </w:rPr>
              <w:t>Secondary (12)</w:t>
            </w:r>
          </w:p>
        </w:tc>
      </w:tr>
      <w:tr w:rsidRPr="001C0E24" w:rsidR="003133AC" w:rsidTr="003133AC">
        <w:tc>
          <w:tcPr>
            <w:tcW w:w="5387" w:type="dxa"/>
            <w:vAlign w:val="center"/>
          </w:tcPr>
          <w:p w:rsidRPr="001C0E24" w:rsidR="003133AC" w:rsidP="00EE47A7" w:rsidRDefault="003133AC">
            <w:pPr>
              <w:tabs>
                <w:tab w:val="left" w:pos="1418"/>
              </w:tabs>
              <w:rPr>
                <w:rFonts w:ascii="Arial" w:hAnsi="Arial" w:cs="Arial"/>
                <w:sz w:val="22"/>
              </w:rPr>
            </w:pPr>
            <w:r w:rsidRPr="001C0E24">
              <w:rPr>
                <w:rFonts w:ascii="Arial" w:hAnsi="Arial" w:cs="Arial"/>
                <w:sz w:val="22"/>
              </w:rPr>
              <w:t>Question</w:t>
            </w:r>
          </w:p>
        </w:tc>
        <w:tc>
          <w:tcPr>
            <w:tcW w:w="875" w:type="dxa"/>
          </w:tcPr>
          <w:p w:rsidRPr="001C0E24" w:rsidR="003133AC" w:rsidP="00980038" w:rsidRDefault="003133AC">
            <w:pPr>
              <w:tabs>
                <w:tab w:val="left" w:pos="1418"/>
              </w:tabs>
              <w:jc w:val="right"/>
              <w:rPr>
                <w:rFonts w:ascii="Arial" w:hAnsi="Arial" w:cs="Arial"/>
                <w:sz w:val="22"/>
              </w:rPr>
            </w:pPr>
          </w:p>
          <w:p w:rsidRPr="001C0E24" w:rsidR="003133AC" w:rsidP="00980038" w:rsidRDefault="003133AC">
            <w:pPr>
              <w:tabs>
                <w:tab w:val="left" w:pos="1418"/>
              </w:tabs>
              <w:jc w:val="right"/>
              <w:rPr>
                <w:rFonts w:ascii="Arial" w:hAnsi="Arial" w:cs="Arial"/>
                <w:sz w:val="22"/>
              </w:rPr>
            </w:pPr>
            <w:r w:rsidRPr="001C0E24">
              <w:rPr>
                <w:rFonts w:ascii="Arial" w:hAnsi="Arial" w:cs="Arial"/>
                <w:sz w:val="22"/>
              </w:rPr>
              <w:t>Agree</w:t>
            </w:r>
          </w:p>
        </w:tc>
        <w:tc>
          <w:tcPr>
            <w:tcW w:w="826" w:type="dxa"/>
          </w:tcPr>
          <w:p w:rsidRPr="001C0E24" w:rsidR="003133AC" w:rsidP="00980038" w:rsidRDefault="003133AC">
            <w:pPr>
              <w:tabs>
                <w:tab w:val="left" w:pos="1418"/>
              </w:tabs>
              <w:jc w:val="right"/>
              <w:rPr>
                <w:rFonts w:ascii="Arial" w:hAnsi="Arial" w:cs="Arial"/>
                <w:sz w:val="22"/>
              </w:rPr>
            </w:pPr>
            <w:r w:rsidRPr="001C0E24">
              <w:rPr>
                <w:rFonts w:ascii="Arial" w:hAnsi="Arial" w:cs="Arial"/>
                <w:sz w:val="22"/>
              </w:rPr>
              <w:t>Dis- agree</w:t>
            </w:r>
          </w:p>
        </w:tc>
        <w:tc>
          <w:tcPr>
            <w:tcW w:w="850" w:type="dxa"/>
          </w:tcPr>
          <w:p w:rsidRPr="001C0E24" w:rsidR="003133AC" w:rsidP="00980038" w:rsidRDefault="003133AC">
            <w:pPr>
              <w:tabs>
                <w:tab w:val="left" w:pos="1418"/>
              </w:tabs>
              <w:jc w:val="right"/>
              <w:rPr>
                <w:rFonts w:ascii="Arial" w:hAnsi="Arial" w:cs="Arial"/>
                <w:sz w:val="22"/>
              </w:rPr>
            </w:pPr>
            <w:r w:rsidRPr="001C0E24">
              <w:rPr>
                <w:rFonts w:ascii="Arial" w:hAnsi="Arial" w:cs="Arial"/>
                <w:sz w:val="22"/>
              </w:rPr>
              <w:t>Don’t Know</w:t>
            </w:r>
          </w:p>
        </w:tc>
        <w:tc>
          <w:tcPr>
            <w:tcW w:w="256" w:type="dxa"/>
            <w:shd w:val="clear" w:color="auto" w:fill="548DD4" w:themeFill="text2" w:themeFillTint="99"/>
          </w:tcPr>
          <w:p w:rsidRPr="001C0E24" w:rsidR="003133AC" w:rsidP="00980038" w:rsidRDefault="003133AC">
            <w:pPr>
              <w:tabs>
                <w:tab w:val="left" w:pos="1418"/>
              </w:tabs>
              <w:jc w:val="right"/>
              <w:rPr>
                <w:rFonts w:ascii="Arial" w:hAnsi="Arial" w:cs="Arial"/>
                <w:sz w:val="22"/>
              </w:rPr>
            </w:pPr>
          </w:p>
        </w:tc>
        <w:tc>
          <w:tcPr>
            <w:tcW w:w="851" w:type="dxa"/>
          </w:tcPr>
          <w:p w:rsidRPr="001C0E24" w:rsidR="003133AC" w:rsidP="00980038" w:rsidRDefault="003133AC">
            <w:pPr>
              <w:tabs>
                <w:tab w:val="left" w:pos="1418"/>
              </w:tabs>
              <w:jc w:val="right"/>
              <w:rPr>
                <w:rFonts w:ascii="Arial" w:hAnsi="Arial" w:cs="Arial"/>
                <w:sz w:val="22"/>
              </w:rPr>
            </w:pPr>
          </w:p>
          <w:p w:rsidRPr="001C0E24" w:rsidR="003133AC" w:rsidP="00980038" w:rsidRDefault="003133AC">
            <w:pPr>
              <w:tabs>
                <w:tab w:val="left" w:pos="1418"/>
              </w:tabs>
              <w:jc w:val="right"/>
              <w:rPr>
                <w:rFonts w:ascii="Arial" w:hAnsi="Arial" w:cs="Arial"/>
                <w:sz w:val="22"/>
              </w:rPr>
            </w:pPr>
            <w:r w:rsidRPr="001C0E24">
              <w:rPr>
                <w:rFonts w:ascii="Arial" w:hAnsi="Arial" w:cs="Arial"/>
                <w:sz w:val="22"/>
              </w:rPr>
              <w:t>Agree</w:t>
            </w:r>
          </w:p>
        </w:tc>
        <w:tc>
          <w:tcPr>
            <w:tcW w:w="850" w:type="dxa"/>
          </w:tcPr>
          <w:p w:rsidRPr="001C0E24" w:rsidR="003133AC" w:rsidP="00980038" w:rsidRDefault="003133AC">
            <w:pPr>
              <w:tabs>
                <w:tab w:val="left" w:pos="1418"/>
              </w:tabs>
              <w:jc w:val="right"/>
              <w:rPr>
                <w:rFonts w:ascii="Arial" w:hAnsi="Arial" w:cs="Arial"/>
                <w:sz w:val="22"/>
              </w:rPr>
            </w:pPr>
            <w:r w:rsidRPr="001C0E24">
              <w:rPr>
                <w:rFonts w:ascii="Arial" w:hAnsi="Arial" w:cs="Arial"/>
                <w:sz w:val="22"/>
              </w:rPr>
              <w:t>Dis- agree</w:t>
            </w:r>
          </w:p>
        </w:tc>
        <w:tc>
          <w:tcPr>
            <w:tcW w:w="879" w:type="dxa"/>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Don’t Know</w:t>
            </w:r>
          </w:p>
        </w:tc>
      </w:tr>
      <w:tr w:rsidRPr="001C0E24" w:rsidR="003133AC" w:rsidTr="003133AC">
        <w:tc>
          <w:tcPr>
            <w:tcW w:w="5387" w:type="dxa"/>
          </w:tcPr>
          <w:p w:rsidRPr="001C0E24" w:rsidR="003133AC" w:rsidP="00B80CEA" w:rsidRDefault="003133AC">
            <w:pPr>
              <w:tabs>
                <w:tab w:val="left" w:pos="1418"/>
              </w:tabs>
              <w:rPr>
                <w:rFonts w:ascii="Arial" w:hAnsi="Arial" w:cs="Arial"/>
                <w:b/>
                <w:sz w:val="22"/>
              </w:rPr>
            </w:pPr>
          </w:p>
        </w:tc>
        <w:tc>
          <w:tcPr>
            <w:tcW w:w="875" w:type="dxa"/>
          </w:tcPr>
          <w:p w:rsidRPr="001C0E24" w:rsidR="003133AC" w:rsidP="00E352A1" w:rsidRDefault="003133AC">
            <w:pPr>
              <w:tabs>
                <w:tab w:val="left" w:pos="1418"/>
              </w:tabs>
              <w:jc w:val="right"/>
              <w:rPr>
                <w:rFonts w:ascii="Arial" w:hAnsi="Arial" w:cs="Arial"/>
                <w:sz w:val="22"/>
              </w:rPr>
            </w:pPr>
          </w:p>
        </w:tc>
        <w:tc>
          <w:tcPr>
            <w:tcW w:w="826" w:type="dxa"/>
          </w:tcPr>
          <w:p w:rsidRPr="001C0E24" w:rsidR="003133AC" w:rsidP="00E352A1" w:rsidRDefault="003133AC">
            <w:pPr>
              <w:tabs>
                <w:tab w:val="left" w:pos="1418"/>
              </w:tabs>
              <w:jc w:val="right"/>
              <w:rPr>
                <w:rFonts w:ascii="Arial" w:hAnsi="Arial" w:cs="Arial"/>
                <w:sz w:val="22"/>
              </w:rPr>
            </w:pPr>
          </w:p>
        </w:tc>
        <w:tc>
          <w:tcPr>
            <w:tcW w:w="850" w:type="dxa"/>
          </w:tcPr>
          <w:p w:rsidRPr="001C0E24" w:rsidR="003133AC" w:rsidP="00E352A1" w:rsidRDefault="003133AC">
            <w:pPr>
              <w:tabs>
                <w:tab w:val="left" w:pos="1418"/>
              </w:tabs>
              <w:jc w:val="right"/>
              <w:rPr>
                <w:rFonts w:ascii="Arial" w:hAnsi="Arial" w:cs="Arial"/>
                <w:sz w:val="22"/>
              </w:rPr>
            </w:pPr>
          </w:p>
        </w:tc>
        <w:tc>
          <w:tcPr>
            <w:tcW w:w="256" w:type="dxa"/>
            <w:shd w:val="clear" w:color="auto" w:fill="548DD4" w:themeFill="text2" w:themeFillTint="99"/>
          </w:tcPr>
          <w:p w:rsidRPr="001C0E24" w:rsidR="003133AC" w:rsidP="00E352A1" w:rsidRDefault="003133AC">
            <w:pPr>
              <w:tabs>
                <w:tab w:val="left" w:pos="1418"/>
              </w:tabs>
              <w:jc w:val="right"/>
              <w:rPr>
                <w:rFonts w:ascii="Arial" w:hAnsi="Arial" w:cs="Arial"/>
                <w:sz w:val="22"/>
              </w:rPr>
            </w:pPr>
          </w:p>
        </w:tc>
        <w:tc>
          <w:tcPr>
            <w:tcW w:w="851" w:type="dxa"/>
          </w:tcPr>
          <w:p w:rsidRPr="001C0E24" w:rsidR="003133AC" w:rsidP="00E352A1" w:rsidRDefault="003133AC">
            <w:pPr>
              <w:tabs>
                <w:tab w:val="left" w:pos="1418"/>
              </w:tabs>
              <w:jc w:val="right"/>
              <w:rPr>
                <w:rFonts w:ascii="Arial" w:hAnsi="Arial" w:cs="Arial"/>
                <w:sz w:val="22"/>
              </w:rPr>
            </w:pPr>
          </w:p>
        </w:tc>
        <w:tc>
          <w:tcPr>
            <w:tcW w:w="850" w:type="dxa"/>
          </w:tcPr>
          <w:p w:rsidRPr="001C0E24" w:rsidR="003133AC" w:rsidP="00E352A1" w:rsidRDefault="003133AC">
            <w:pPr>
              <w:tabs>
                <w:tab w:val="left" w:pos="1418"/>
              </w:tabs>
              <w:jc w:val="right"/>
              <w:rPr>
                <w:rFonts w:ascii="Arial" w:hAnsi="Arial" w:cs="Arial"/>
                <w:sz w:val="22"/>
              </w:rPr>
            </w:pPr>
          </w:p>
        </w:tc>
        <w:tc>
          <w:tcPr>
            <w:tcW w:w="879" w:type="dxa"/>
          </w:tcPr>
          <w:p w:rsidRPr="001C0E24" w:rsidR="003133AC" w:rsidP="00B80CEA" w:rsidRDefault="003133AC">
            <w:pPr>
              <w:jc w:val="right"/>
              <w:rPr>
                <w:rFonts w:ascii="Arial" w:hAnsi="Arial" w:cs="Arial"/>
                <w:sz w:val="22"/>
              </w:rPr>
            </w:pPr>
          </w:p>
        </w:tc>
      </w:tr>
      <w:tr w:rsidRPr="001C0E24" w:rsidR="003133AC" w:rsidTr="003133AC">
        <w:tc>
          <w:tcPr>
            <w:tcW w:w="5387" w:type="dxa"/>
          </w:tcPr>
          <w:p w:rsidRPr="001C0E24" w:rsidR="003133AC" w:rsidP="007F2DCB" w:rsidRDefault="003133AC">
            <w:pPr>
              <w:tabs>
                <w:tab w:val="left" w:pos="1418"/>
              </w:tabs>
              <w:rPr>
                <w:rFonts w:ascii="Arial" w:hAnsi="Arial" w:cs="Arial"/>
                <w:sz w:val="22"/>
              </w:rPr>
            </w:pPr>
            <w:r w:rsidRPr="001C0E24">
              <w:rPr>
                <w:rFonts w:ascii="Arial" w:hAnsi="Arial" w:cs="Arial"/>
                <w:b/>
                <w:sz w:val="22"/>
              </w:rPr>
              <w:t>Q1.</w:t>
            </w:r>
            <w:r w:rsidRPr="001C0E24">
              <w:rPr>
                <w:rFonts w:ascii="Arial" w:hAnsi="Arial" w:cs="Arial"/>
                <w:sz w:val="22"/>
              </w:rPr>
              <w:t xml:space="preserve"> Do you agree with the proposed introduction of the NFF?</w:t>
            </w:r>
          </w:p>
        </w:tc>
        <w:tc>
          <w:tcPr>
            <w:tcW w:w="875"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32</w:t>
            </w:r>
          </w:p>
        </w:tc>
        <w:tc>
          <w:tcPr>
            <w:tcW w:w="826"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8</w:t>
            </w:r>
          </w:p>
        </w:tc>
        <w:tc>
          <w:tcPr>
            <w:tcW w:w="850"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4</w:t>
            </w:r>
          </w:p>
        </w:tc>
        <w:tc>
          <w:tcPr>
            <w:tcW w:w="256" w:type="dxa"/>
            <w:shd w:val="clear" w:color="auto" w:fill="548DD4" w:themeFill="text2" w:themeFillTint="99"/>
          </w:tcPr>
          <w:p w:rsidRPr="001C0E24" w:rsidR="003133AC" w:rsidP="003133AC" w:rsidRDefault="003133AC">
            <w:pPr>
              <w:tabs>
                <w:tab w:val="left" w:pos="1418"/>
              </w:tabs>
              <w:jc w:val="right"/>
              <w:rPr>
                <w:rFonts w:ascii="Arial" w:hAnsi="Arial" w:cs="Arial"/>
                <w:sz w:val="22"/>
              </w:rPr>
            </w:pPr>
          </w:p>
        </w:tc>
        <w:tc>
          <w:tcPr>
            <w:tcW w:w="851"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9</w:t>
            </w:r>
          </w:p>
        </w:tc>
        <w:tc>
          <w:tcPr>
            <w:tcW w:w="850"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2</w:t>
            </w:r>
          </w:p>
        </w:tc>
        <w:tc>
          <w:tcPr>
            <w:tcW w:w="879"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1</w:t>
            </w:r>
          </w:p>
        </w:tc>
      </w:tr>
      <w:tr w:rsidRPr="001C0E24" w:rsidR="003133AC" w:rsidTr="003133AC">
        <w:tc>
          <w:tcPr>
            <w:tcW w:w="5387" w:type="dxa"/>
          </w:tcPr>
          <w:p w:rsidRPr="001C0E24" w:rsidR="003133AC" w:rsidP="007F2DCB" w:rsidRDefault="003133AC">
            <w:pPr>
              <w:tabs>
                <w:tab w:val="left" w:pos="1418"/>
              </w:tabs>
              <w:rPr>
                <w:rFonts w:ascii="Arial" w:hAnsi="Arial" w:cs="Arial"/>
                <w:sz w:val="22"/>
              </w:rPr>
            </w:pPr>
            <w:r w:rsidRPr="001C0E24">
              <w:rPr>
                <w:rFonts w:ascii="Arial" w:hAnsi="Arial" w:cs="Arial"/>
                <w:b/>
                <w:sz w:val="22"/>
              </w:rPr>
              <w:t>Q3.</w:t>
            </w:r>
            <w:r w:rsidRPr="001C0E24">
              <w:rPr>
                <w:rFonts w:ascii="Arial" w:hAnsi="Arial" w:cs="Arial"/>
                <w:sz w:val="22"/>
              </w:rPr>
              <w:t xml:space="preserve"> Do you agree with the proposed MFG per pupil of plus 0.5% per pupil?</w:t>
            </w:r>
          </w:p>
        </w:tc>
        <w:tc>
          <w:tcPr>
            <w:tcW w:w="875"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36</w:t>
            </w:r>
          </w:p>
        </w:tc>
        <w:tc>
          <w:tcPr>
            <w:tcW w:w="826"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4</w:t>
            </w:r>
          </w:p>
        </w:tc>
        <w:tc>
          <w:tcPr>
            <w:tcW w:w="850"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4</w:t>
            </w:r>
          </w:p>
        </w:tc>
        <w:tc>
          <w:tcPr>
            <w:tcW w:w="256" w:type="dxa"/>
            <w:shd w:val="clear" w:color="auto" w:fill="548DD4" w:themeFill="text2" w:themeFillTint="99"/>
          </w:tcPr>
          <w:p w:rsidRPr="001C0E24" w:rsidR="003133AC" w:rsidP="003133AC" w:rsidRDefault="003133AC">
            <w:pPr>
              <w:tabs>
                <w:tab w:val="left" w:pos="1418"/>
              </w:tabs>
              <w:jc w:val="right"/>
              <w:rPr>
                <w:rFonts w:ascii="Arial" w:hAnsi="Arial" w:cs="Arial"/>
                <w:sz w:val="22"/>
              </w:rPr>
            </w:pPr>
          </w:p>
        </w:tc>
        <w:tc>
          <w:tcPr>
            <w:tcW w:w="851"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9</w:t>
            </w:r>
          </w:p>
        </w:tc>
        <w:tc>
          <w:tcPr>
            <w:tcW w:w="850"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3</w:t>
            </w:r>
          </w:p>
        </w:tc>
        <w:tc>
          <w:tcPr>
            <w:tcW w:w="879"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0</w:t>
            </w:r>
          </w:p>
        </w:tc>
      </w:tr>
      <w:tr w:rsidRPr="001C0E24" w:rsidR="003133AC" w:rsidTr="003133AC">
        <w:tc>
          <w:tcPr>
            <w:tcW w:w="5387" w:type="dxa"/>
          </w:tcPr>
          <w:p w:rsidRPr="001C0E24" w:rsidR="003133AC" w:rsidP="007F2DCB" w:rsidRDefault="003133AC">
            <w:pPr>
              <w:tabs>
                <w:tab w:val="left" w:pos="1418"/>
              </w:tabs>
              <w:rPr>
                <w:rFonts w:ascii="Arial" w:hAnsi="Arial" w:cs="Arial"/>
                <w:sz w:val="22"/>
              </w:rPr>
            </w:pPr>
            <w:r w:rsidRPr="001C0E24">
              <w:rPr>
                <w:rFonts w:ascii="Arial" w:hAnsi="Arial" w:cs="Arial"/>
                <w:b/>
                <w:sz w:val="22"/>
              </w:rPr>
              <w:t>Q5.</w:t>
            </w:r>
            <w:r w:rsidRPr="001C0E24">
              <w:rPr>
                <w:rFonts w:ascii="Arial" w:hAnsi="Arial" w:cs="Arial"/>
                <w:sz w:val="22"/>
              </w:rPr>
              <w:t xml:space="preserve"> Do you agree that no transfer from the Schools Block should be made for 2018-19?</w:t>
            </w:r>
          </w:p>
        </w:tc>
        <w:tc>
          <w:tcPr>
            <w:tcW w:w="875"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37</w:t>
            </w:r>
          </w:p>
        </w:tc>
        <w:tc>
          <w:tcPr>
            <w:tcW w:w="826"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2</w:t>
            </w:r>
          </w:p>
        </w:tc>
        <w:tc>
          <w:tcPr>
            <w:tcW w:w="850"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5</w:t>
            </w:r>
          </w:p>
        </w:tc>
        <w:tc>
          <w:tcPr>
            <w:tcW w:w="256" w:type="dxa"/>
            <w:shd w:val="clear" w:color="auto" w:fill="548DD4" w:themeFill="text2" w:themeFillTint="99"/>
          </w:tcPr>
          <w:p w:rsidRPr="001C0E24" w:rsidR="003133AC" w:rsidP="003133AC" w:rsidRDefault="003133AC">
            <w:pPr>
              <w:tabs>
                <w:tab w:val="left" w:pos="1418"/>
              </w:tabs>
              <w:jc w:val="right"/>
              <w:rPr>
                <w:rFonts w:ascii="Arial" w:hAnsi="Arial" w:cs="Arial"/>
                <w:sz w:val="22"/>
              </w:rPr>
            </w:pPr>
          </w:p>
        </w:tc>
        <w:tc>
          <w:tcPr>
            <w:tcW w:w="851"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10</w:t>
            </w:r>
          </w:p>
        </w:tc>
        <w:tc>
          <w:tcPr>
            <w:tcW w:w="850"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0</w:t>
            </w:r>
          </w:p>
        </w:tc>
        <w:tc>
          <w:tcPr>
            <w:tcW w:w="879"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2</w:t>
            </w:r>
          </w:p>
        </w:tc>
      </w:tr>
      <w:tr w:rsidRPr="001C0E24" w:rsidR="003133AC" w:rsidTr="003133AC">
        <w:tc>
          <w:tcPr>
            <w:tcW w:w="5387" w:type="dxa"/>
          </w:tcPr>
          <w:p w:rsidRPr="001C0E24" w:rsidR="003133AC" w:rsidP="007F2DCB" w:rsidRDefault="003133AC">
            <w:pPr>
              <w:tabs>
                <w:tab w:val="left" w:pos="1418"/>
              </w:tabs>
              <w:rPr>
                <w:rFonts w:ascii="Arial" w:hAnsi="Arial" w:cs="Arial"/>
                <w:sz w:val="22"/>
              </w:rPr>
            </w:pPr>
            <w:r w:rsidRPr="001C0E24">
              <w:rPr>
                <w:rFonts w:ascii="Arial" w:hAnsi="Arial" w:cs="Arial"/>
                <w:b/>
                <w:sz w:val="22"/>
              </w:rPr>
              <w:t>Q6a.</w:t>
            </w:r>
            <w:r w:rsidRPr="001C0E24">
              <w:rPr>
                <w:rFonts w:ascii="Arial" w:hAnsi="Arial" w:cs="Arial"/>
                <w:sz w:val="22"/>
              </w:rPr>
              <w:t xml:space="preserve"> Would you be prepared to see a reduction in the multipliers to create an in year growth fund?</w:t>
            </w:r>
          </w:p>
        </w:tc>
        <w:tc>
          <w:tcPr>
            <w:tcW w:w="875"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7</w:t>
            </w:r>
          </w:p>
        </w:tc>
        <w:tc>
          <w:tcPr>
            <w:tcW w:w="826"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27</w:t>
            </w:r>
          </w:p>
        </w:tc>
        <w:tc>
          <w:tcPr>
            <w:tcW w:w="850"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10</w:t>
            </w:r>
          </w:p>
        </w:tc>
        <w:tc>
          <w:tcPr>
            <w:tcW w:w="256" w:type="dxa"/>
            <w:shd w:val="clear" w:color="auto" w:fill="548DD4" w:themeFill="text2" w:themeFillTint="99"/>
          </w:tcPr>
          <w:p w:rsidRPr="001C0E24" w:rsidR="003133AC" w:rsidP="003133AC" w:rsidRDefault="003133AC">
            <w:pPr>
              <w:tabs>
                <w:tab w:val="left" w:pos="1418"/>
              </w:tabs>
              <w:jc w:val="right"/>
              <w:rPr>
                <w:rFonts w:ascii="Arial" w:hAnsi="Arial" w:cs="Arial"/>
                <w:sz w:val="22"/>
              </w:rPr>
            </w:pPr>
          </w:p>
        </w:tc>
        <w:tc>
          <w:tcPr>
            <w:tcW w:w="851"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1</w:t>
            </w:r>
          </w:p>
        </w:tc>
        <w:tc>
          <w:tcPr>
            <w:tcW w:w="850"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9</w:t>
            </w:r>
          </w:p>
        </w:tc>
        <w:tc>
          <w:tcPr>
            <w:tcW w:w="879"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2</w:t>
            </w:r>
          </w:p>
        </w:tc>
      </w:tr>
      <w:tr w:rsidRPr="001C0E24" w:rsidR="003133AC" w:rsidTr="003133AC">
        <w:tc>
          <w:tcPr>
            <w:tcW w:w="5387" w:type="dxa"/>
          </w:tcPr>
          <w:p w:rsidRPr="001C0E24" w:rsidR="003133AC" w:rsidP="007F2DCB" w:rsidRDefault="003133AC">
            <w:pPr>
              <w:tabs>
                <w:tab w:val="left" w:pos="1418"/>
              </w:tabs>
              <w:rPr>
                <w:rFonts w:ascii="Arial" w:hAnsi="Arial" w:cs="Arial"/>
                <w:sz w:val="22"/>
              </w:rPr>
            </w:pPr>
            <w:r w:rsidRPr="001C0E24">
              <w:rPr>
                <w:rFonts w:ascii="Arial" w:hAnsi="Arial" w:cs="Arial"/>
                <w:b/>
                <w:sz w:val="22"/>
              </w:rPr>
              <w:t>Q7a.</w:t>
            </w:r>
            <w:r w:rsidRPr="001C0E24">
              <w:rPr>
                <w:rFonts w:ascii="Arial" w:hAnsi="Arial" w:cs="Arial"/>
                <w:sz w:val="22"/>
              </w:rPr>
              <w:t xml:space="preserve"> Would you be prepared to see a reduction in the multipliers to create a growth fund for new free schools?</w:t>
            </w:r>
          </w:p>
        </w:tc>
        <w:tc>
          <w:tcPr>
            <w:tcW w:w="875"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2</w:t>
            </w:r>
          </w:p>
        </w:tc>
        <w:tc>
          <w:tcPr>
            <w:tcW w:w="826"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30</w:t>
            </w:r>
          </w:p>
        </w:tc>
        <w:tc>
          <w:tcPr>
            <w:tcW w:w="850"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12</w:t>
            </w:r>
          </w:p>
        </w:tc>
        <w:tc>
          <w:tcPr>
            <w:tcW w:w="256" w:type="dxa"/>
            <w:shd w:val="clear" w:color="auto" w:fill="548DD4" w:themeFill="text2" w:themeFillTint="99"/>
          </w:tcPr>
          <w:p w:rsidRPr="001C0E24" w:rsidR="003133AC" w:rsidP="003133AC" w:rsidRDefault="003133AC">
            <w:pPr>
              <w:tabs>
                <w:tab w:val="left" w:pos="1418"/>
              </w:tabs>
              <w:jc w:val="right"/>
              <w:rPr>
                <w:rFonts w:ascii="Arial" w:hAnsi="Arial" w:cs="Arial"/>
                <w:sz w:val="22"/>
              </w:rPr>
            </w:pPr>
          </w:p>
        </w:tc>
        <w:tc>
          <w:tcPr>
            <w:tcW w:w="851"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1</w:t>
            </w:r>
          </w:p>
        </w:tc>
        <w:tc>
          <w:tcPr>
            <w:tcW w:w="850"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10</w:t>
            </w:r>
          </w:p>
        </w:tc>
        <w:tc>
          <w:tcPr>
            <w:tcW w:w="879"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1</w:t>
            </w:r>
          </w:p>
        </w:tc>
      </w:tr>
      <w:tr w:rsidRPr="001C0E24" w:rsidR="003133AC" w:rsidTr="003133AC">
        <w:tc>
          <w:tcPr>
            <w:tcW w:w="5387" w:type="dxa"/>
          </w:tcPr>
          <w:p w:rsidRPr="001C0E24" w:rsidR="003133AC" w:rsidP="007F2DCB" w:rsidRDefault="003133AC">
            <w:pPr>
              <w:tabs>
                <w:tab w:val="left" w:pos="1418"/>
              </w:tabs>
              <w:rPr>
                <w:rFonts w:ascii="Arial" w:hAnsi="Arial" w:cs="Arial"/>
                <w:sz w:val="22"/>
              </w:rPr>
            </w:pPr>
            <w:r w:rsidRPr="001C0E24">
              <w:rPr>
                <w:rFonts w:ascii="Arial" w:hAnsi="Arial" w:cs="Arial"/>
                <w:b/>
                <w:sz w:val="22"/>
              </w:rPr>
              <w:t xml:space="preserve">Q8a. </w:t>
            </w:r>
            <w:r w:rsidRPr="001C0E24">
              <w:rPr>
                <w:rFonts w:ascii="Arial" w:hAnsi="Arial" w:cs="Arial"/>
                <w:sz w:val="22"/>
              </w:rPr>
              <w:t>Would you be prepared to see a reduction in the multipliers to create a falling rolls fund for good or outstanding schools?</w:t>
            </w:r>
          </w:p>
        </w:tc>
        <w:tc>
          <w:tcPr>
            <w:tcW w:w="875"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3</w:t>
            </w:r>
          </w:p>
        </w:tc>
        <w:tc>
          <w:tcPr>
            <w:tcW w:w="826"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31</w:t>
            </w:r>
          </w:p>
        </w:tc>
        <w:tc>
          <w:tcPr>
            <w:tcW w:w="850"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10</w:t>
            </w:r>
          </w:p>
        </w:tc>
        <w:tc>
          <w:tcPr>
            <w:tcW w:w="256" w:type="dxa"/>
            <w:shd w:val="clear" w:color="auto" w:fill="548DD4" w:themeFill="text2" w:themeFillTint="99"/>
          </w:tcPr>
          <w:p w:rsidRPr="001C0E24" w:rsidR="003133AC" w:rsidP="003133AC" w:rsidRDefault="003133AC">
            <w:pPr>
              <w:tabs>
                <w:tab w:val="left" w:pos="1418"/>
              </w:tabs>
              <w:jc w:val="right"/>
              <w:rPr>
                <w:rFonts w:ascii="Arial" w:hAnsi="Arial" w:cs="Arial"/>
                <w:sz w:val="22"/>
              </w:rPr>
            </w:pPr>
          </w:p>
        </w:tc>
        <w:tc>
          <w:tcPr>
            <w:tcW w:w="851"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0</w:t>
            </w:r>
          </w:p>
        </w:tc>
        <w:tc>
          <w:tcPr>
            <w:tcW w:w="850"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12</w:t>
            </w:r>
          </w:p>
        </w:tc>
        <w:tc>
          <w:tcPr>
            <w:tcW w:w="879" w:type="dxa"/>
            <w:vAlign w:val="center"/>
          </w:tcPr>
          <w:p w:rsidRPr="001C0E24" w:rsidR="003133AC" w:rsidP="003133AC" w:rsidRDefault="003133AC">
            <w:pPr>
              <w:tabs>
                <w:tab w:val="left" w:pos="1418"/>
              </w:tabs>
              <w:jc w:val="right"/>
              <w:rPr>
                <w:rFonts w:ascii="Arial" w:hAnsi="Arial" w:cs="Arial"/>
                <w:sz w:val="22"/>
              </w:rPr>
            </w:pPr>
            <w:r w:rsidRPr="001C0E24">
              <w:rPr>
                <w:rFonts w:ascii="Arial" w:hAnsi="Arial" w:cs="Arial"/>
                <w:sz w:val="22"/>
              </w:rPr>
              <w:t>0</w:t>
            </w:r>
          </w:p>
        </w:tc>
      </w:tr>
    </w:tbl>
    <w:p w:rsidRPr="001C0E24" w:rsidR="00283ABE" w:rsidP="00C418D4" w:rsidRDefault="00283ABE">
      <w:pPr>
        <w:ind w:left="284"/>
        <w:rPr>
          <w:rFonts w:ascii="Arial" w:hAnsi="Arial" w:cs="Arial"/>
          <w:sz w:val="26"/>
          <w:szCs w:val="26"/>
        </w:rPr>
      </w:pPr>
    </w:p>
    <w:p w:rsidRPr="001C0E24" w:rsidR="003133AC" w:rsidP="00C418D4" w:rsidRDefault="003133AC">
      <w:pPr>
        <w:ind w:left="284"/>
        <w:rPr>
          <w:rFonts w:ascii="Arial" w:hAnsi="Arial" w:cs="Arial"/>
          <w:sz w:val="26"/>
          <w:szCs w:val="26"/>
        </w:rPr>
      </w:pPr>
      <w:r w:rsidRPr="001C0E24">
        <w:rPr>
          <w:rFonts w:ascii="Arial" w:hAnsi="Arial" w:cs="Arial"/>
          <w:sz w:val="26"/>
          <w:szCs w:val="26"/>
        </w:rPr>
        <w:t xml:space="preserve">Although the overall response rate was low, the pattern of responses indicates </w:t>
      </w:r>
      <w:r w:rsidR="0034390E">
        <w:rPr>
          <w:rFonts w:ascii="Arial" w:hAnsi="Arial" w:cs="Arial"/>
          <w:sz w:val="26"/>
          <w:szCs w:val="26"/>
        </w:rPr>
        <w:t xml:space="preserve">a good level of </w:t>
      </w:r>
      <w:r w:rsidRPr="001C0E24">
        <w:rPr>
          <w:rFonts w:ascii="Arial" w:hAnsi="Arial" w:cs="Arial"/>
          <w:sz w:val="26"/>
          <w:szCs w:val="26"/>
        </w:rPr>
        <w:t>support for questions 1, 3 and 5</w:t>
      </w:r>
      <w:r w:rsidRPr="001C0E24" w:rsidR="00A26081">
        <w:rPr>
          <w:rFonts w:ascii="Arial" w:hAnsi="Arial" w:cs="Arial"/>
          <w:sz w:val="26"/>
          <w:szCs w:val="26"/>
        </w:rPr>
        <w:t>. This suggests schools would support a move to the NF</w:t>
      </w:r>
      <w:r w:rsidR="009E7DD9">
        <w:rPr>
          <w:rFonts w:ascii="Arial" w:hAnsi="Arial" w:cs="Arial"/>
          <w:sz w:val="26"/>
          <w:szCs w:val="26"/>
        </w:rPr>
        <w:t>F</w:t>
      </w:r>
      <w:r w:rsidRPr="001C0E24" w:rsidR="00A26081">
        <w:rPr>
          <w:rFonts w:ascii="Arial" w:hAnsi="Arial" w:cs="Arial"/>
          <w:sz w:val="26"/>
          <w:szCs w:val="26"/>
        </w:rPr>
        <w:t xml:space="preserve">, would wish to see all schools receive a level of protection in 2018-19 and that the Schools Block should not be used to support pressures in the High Needs </w:t>
      </w:r>
      <w:r w:rsidRPr="001C0E24" w:rsidR="00A26081">
        <w:rPr>
          <w:rFonts w:ascii="Arial" w:hAnsi="Arial" w:cs="Arial"/>
          <w:sz w:val="26"/>
          <w:szCs w:val="26"/>
        </w:rPr>
        <w:lastRenderedPageBreak/>
        <w:t xml:space="preserve">and other </w:t>
      </w:r>
      <w:r w:rsidRPr="001C0E24" w:rsidR="001C0E24">
        <w:rPr>
          <w:rFonts w:ascii="Arial" w:hAnsi="Arial" w:cs="Arial"/>
          <w:sz w:val="26"/>
          <w:szCs w:val="26"/>
        </w:rPr>
        <w:t>b</w:t>
      </w:r>
      <w:r w:rsidRPr="001C0E24" w:rsidR="00A26081">
        <w:rPr>
          <w:rFonts w:ascii="Arial" w:hAnsi="Arial" w:cs="Arial"/>
          <w:sz w:val="26"/>
          <w:szCs w:val="26"/>
        </w:rPr>
        <w:t>locks in 2018-19. By contrast, t</w:t>
      </w:r>
      <w:r w:rsidRPr="001C0E24">
        <w:rPr>
          <w:rFonts w:ascii="Arial" w:hAnsi="Arial" w:cs="Arial"/>
          <w:sz w:val="26"/>
          <w:szCs w:val="26"/>
        </w:rPr>
        <w:t xml:space="preserve">here was little support for formula multipliers to be pared back to fund </w:t>
      </w:r>
      <w:r w:rsidRPr="001C0E24" w:rsidR="00A26081">
        <w:rPr>
          <w:rFonts w:ascii="Arial" w:hAnsi="Arial" w:cs="Arial"/>
          <w:sz w:val="26"/>
          <w:szCs w:val="26"/>
        </w:rPr>
        <w:t xml:space="preserve">either the growth or falling rolls </w:t>
      </w:r>
      <w:r w:rsidRPr="001C0E24">
        <w:rPr>
          <w:rFonts w:ascii="Arial" w:hAnsi="Arial" w:cs="Arial"/>
          <w:sz w:val="26"/>
          <w:szCs w:val="26"/>
        </w:rPr>
        <w:t>funds.</w:t>
      </w:r>
    </w:p>
    <w:p w:rsidRPr="001C0E24" w:rsidR="003133AC" w:rsidP="00C418D4" w:rsidRDefault="003133AC">
      <w:pPr>
        <w:ind w:left="284"/>
        <w:rPr>
          <w:rFonts w:ascii="Arial" w:hAnsi="Arial" w:cs="Arial"/>
          <w:sz w:val="26"/>
          <w:szCs w:val="26"/>
        </w:rPr>
      </w:pPr>
    </w:p>
    <w:p w:rsidRPr="001C0E24" w:rsidR="003133AC" w:rsidP="00C418D4" w:rsidRDefault="003133AC">
      <w:pPr>
        <w:ind w:left="284"/>
        <w:rPr>
          <w:rFonts w:ascii="Arial" w:hAnsi="Arial" w:cs="Arial"/>
          <w:sz w:val="26"/>
          <w:szCs w:val="26"/>
        </w:rPr>
      </w:pPr>
      <w:r w:rsidRPr="001C0E24">
        <w:rPr>
          <w:rFonts w:ascii="Arial" w:hAnsi="Arial" w:cs="Arial"/>
          <w:sz w:val="26"/>
          <w:szCs w:val="26"/>
        </w:rPr>
        <w:t xml:space="preserve">The responses confirm the LA’s position that the Authority should move as far as possible towards the NFF in April 2018. </w:t>
      </w:r>
      <w:r w:rsidRPr="001C0E24" w:rsidR="00F56B73">
        <w:rPr>
          <w:rFonts w:ascii="Arial" w:hAnsi="Arial" w:cs="Arial"/>
          <w:sz w:val="26"/>
          <w:szCs w:val="26"/>
        </w:rPr>
        <w:t>The issues surrounding MFG and growth</w:t>
      </w:r>
      <w:r w:rsidRPr="001C0E24" w:rsidR="00A26081">
        <w:rPr>
          <w:rFonts w:ascii="Arial" w:hAnsi="Arial" w:cs="Arial"/>
          <w:sz w:val="26"/>
          <w:szCs w:val="26"/>
        </w:rPr>
        <w:t>/</w:t>
      </w:r>
      <w:r w:rsidRPr="001C0E24" w:rsidR="00F56B73">
        <w:rPr>
          <w:rFonts w:ascii="Arial" w:hAnsi="Arial" w:cs="Arial"/>
          <w:sz w:val="26"/>
          <w:szCs w:val="26"/>
        </w:rPr>
        <w:t>falling rolls funds are the subject of separate reports to this meeting.</w:t>
      </w:r>
    </w:p>
    <w:p w:rsidRPr="001C0E24" w:rsidR="003133AC" w:rsidP="00C418D4" w:rsidRDefault="003133AC">
      <w:pPr>
        <w:ind w:left="284"/>
        <w:rPr>
          <w:rFonts w:ascii="Arial" w:hAnsi="Arial" w:cs="Arial"/>
          <w:sz w:val="26"/>
          <w:szCs w:val="26"/>
        </w:rPr>
      </w:pPr>
    </w:p>
    <w:p w:rsidRPr="001C0E24" w:rsidR="004F0FCD" w:rsidP="00C418D4" w:rsidRDefault="00E97D82">
      <w:pPr>
        <w:ind w:left="284"/>
        <w:rPr>
          <w:rFonts w:ascii="Arial" w:hAnsi="Arial" w:cs="Arial"/>
          <w:sz w:val="26"/>
          <w:szCs w:val="26"/>
        </w:rPr>
      </w:pPr>
      <w:r w:rsidRPr="001C0E24">
        <w:rPr>
          <w:rFonts w:ascii="Arial" w:hAnsi="Arial" w:cs="Arial"/>
          <w:sz w:val="26"/>
          <w:szCs w:val="26"/>
        </w:rPr>
        <w:t xml:space="preserve">The Schools Forum </w:t>
      </w:r>
      <w:r w:rsidRPr="001C0E24" w:rsidR="003133AC">
        <w:rPr>
          <w:rFonts w:ascii="Arial" w:hAnsi="Arial" w:cs="Arial"/>
          <w:sz w:val="26"/>
          <w:szCs w:val="26"/>
        </w:rPr>
        <w:t xml:space="preserve">is asked to note the response to the </w:t>
      </w:r>
      <w:r w:rsidRPr="001C0E24" w:rsidR="00F56B73">
        <w:rPr>
          <w:rFonts w:ascii="Arial" w:hAnsi="Arial" w:cs="Arial"/>
          <w:sz w:val="26"/>
          <w:szCs w:val="26"/>
        </w:rPr>
        <w:t xml:space="preserve">recent </w:t>
      </w:r>
      <w:r w:rsidRPr="001C0E24" w:rsidR="003133AC">
        <w:rPr>
          <w:rFonts w:ascii="Arial" w:hAnsi="Arial" w:cs="Arial"/>
          <w:sz w:val="26"/>
          <w:szCs w:val="26"/>
        </w:rPr>
        <w:t xml:space="preserve">consultation </w:t>
      </w:r>
      <w:r w:rsidRPr="001C0E24" w:rsidR="00F56B73">
        <w:rPr>
          <w:rFonts w:ascii="Arial" w:hAnsi="Arial" w:cs="Arial"/>
          <w:sz w:val="26"/>
          <w:szCs w:val="26"/>
        </w:rPr>
        <w:t xml:space="preserve">from schools and academies </w:t>
      </w:r>
      <w:r w:rsidRPr="001C0E24" w:rsidR="003133AC">
        <w:rPr>
          <w:rFonts w:ascii="Arial" w:hAnsi="Arial" w:cs="Arial"/>
          <w:sz w:val="26"/>
          <w:szCs w:val="26"/>
        </w:rPr>
        <w:t>and the issues raised</w:t>
      </w:r>
      <w:r w:rsidRPr="001C0E24">
        <w:rPr>
          <w:rFonts w:ascii="Arial" w:hAnsi="Arial" w:cs="Arial"/>
          <w:sz w:val="26"/>
          <w:szCs w:val="26"/>
        </w:rPr>
        <w:t>.</w:t>
      </w:r>
    </w:p>
    <w:p w:rsidRPr="001C0E24" w:rsidR="00040848" w:rsidP="00C418D4" w:rsidRDefault="00040848">
      <w:pPr>
        <w:ind w:left="284"/>
        <w:rPr>
          <w:rFonts w:ascii="Arial" w:hAnsi="Arial" w:cs="Arial"/>
          <w:sz w:val="26"/>
          <w:szCs w:val="26"/>
        </w:rPr>
      </w:pPr>
    </w:p>
    <w:p w:rsidRPr="001C0E24" w:rsidR="00F101F1" w:rsidP="00F101F1" w:rsidRDefault="00B73C3D">
      <w:pPr>
        <w:ind w:left="284"/>
        <w:jc w:val="both"/>
        <w:rPr>
          <w:rFonts w:ascii="Arial" w:hAnsi="Arial" w:cs="Arial"/>
          <w:b/>
          <w:sz w:val="26"/>
          <w:szCs w:val="26"/>
          <w:u w:val="single"/>
        </w:rPr>
      </w:pPr>
      <w:r w:rsidRPr="001C0E24">
        <w:rPr>
          <w:rFonts w:ascii="Arial" w:hAnsi="Arial" w:cs="Arial"/>
          <w:b/>
          <w:sz w:val="26"/>
          <w:szCs w:val="26"/>
        </w:rPr>
        <w:t>3.</w:t>
      </w:r>
      <w:r w:rsidRPr="001C0E24">
        <w:rPr>
          <w:rFonts w:ascii="Arial" w:hAnsi="Arial" w:cs="Arial"/>
          <w:b/>
          <w:sz w:val="26"/>
          <w:szCs w:val="26"/>
        </w:rPr>
        <w:tab/>
      </w:r>
      <w:r w:rsidRPr="001C0E24">
        <w:rPr>
          <w:rFonts w:ascii="Arial" w:hAnsi="Arial" w:cs="Arial"/>
          <w:b/>
          <w:sz w:val="26"/>
          <w:szCs w:val="26"/>
          <w:u w:val="single"/>
        </w:rPr>
        <w:t>Other Considerations</w:t>
      </w:r>
    </w:p>
    <w:p w:rsidRPr="001C0E24" w:rsidR="00F101F1" w:rsidP="00F101F1" w:rsidRDefault="00F101F1">
      <w:pPr>
        <w:ind w:left="284"/>
        <w:jc w:val="both"/>
        <w:rPr>
          <w:rFonts w:ascii="Arial" w:hAnsi="Arial" w:cs="Arial"/>
          <w:sz w:val="26"/>
          <w:szCs w:val="26"/>
        </w:rPr>
      </w:pPr>
    </w:p>
    <w:p w:rsidRPr="001C0E24" w:rsidR="00B73C3D" w:rsidP="0034390E" w:rsidRDefault="00B73C3D">
      <w:pPr>
        <w:ind w:left="284"/>
        <w:rPr>
          <w:rFonts w:ascii="Arial" w:hAnsi="Arial" w:cs="Arial"/>
          <w:sz w:val="26"/>
          <w:szCs w:val="26"/>
        </w:rPr>
      </w:pPr>
      <w:r w:rsidRPr="001C0E24">
        <w:rPr>
          <w:rFonts w:ascii="Arial" w:hAnsi="Arial" w:cs="Arial"/>
          <w:sz w:val="26"/>
          <w:szCs w:val="26"/>
        </w:rPr>
        <w:t xml:space="preserve">In preparing this report the relevance of the following factors has been considered: prevention of crime &amp; disorder, equality of opportunity, human resources, legal &amp; human rights, environmental, financial, </w:t>
      </w:r>
      <w:r w:rsidR="0034390E">
        <w:rPr>
          <w:rFonts w:ascii="Arial" w:hAnsi="Arial" w:cs="Arial"/>
          <w:sz w:val="26"/>
          <w:szCs w:val="26"/>
        </w:rPr>
        <w:t xml:space="preserve">social value, </w:t>
      </w:r>
      <w:r w:rsidRPr="001C0E24">
        <w:rPr>
          <w:rFonts w:ascii="Arial" w:hAnsi="Arial" w:cs="Arial"/>
          <w:sz w:val="26"/>
          <w:szCs w:val="26"/>
        </w:rPr>
        <w:t>health, property and transport considerations.</w:t>
      </w:r>
    </w:p>
    <w:p w:rsidRPr="001C0E24" w:rsidR="00B73C3D" w:rsidP="00F101F1" w:rsidRDefault="00B73C3D">
      <w:pPr>
        <w:ind w:left="284"/>
        <w:rPr>
          <w:rFonts w:ascii="Arial" w:hAnsi="Arial" w:cs="Arial"/>
          <w:sz w:val="26"/>
          <w:szCs w:val="26"/>
        </w:rPr>
      </w:pPr>
    </w:p>
    <w:p w:rsidRPr="001C0E24" w:rsidR="00F101F1" w:rsidP="00F101F1" w:rsidRDefault="00B73C3D">
      <w:pPr>
        <w:ind w:left="284"/>
        <w:rPr>
          <w:rFonts w:ascii="Arial" w:hAnsi="Arial" w:cs="Arial"/>
          <w:b/>
          <w:sz w:val="26"/>
          <w:szCs w:val="26"/>
          <w:u w:val="single"/>
        </w:rPr>
      </w:pPr>
      <w:r w:rsidRPr="001C0E24">
        <w:rPr>
          <w:rFonts w:ascii="Arial" w:hAnsi="Arial" w:cs="Arial"/>
          <w:b/>
          <w:sz w:val="26"/>
          <w:szCs w:val="26"/>
        </w:rPr>
        <w:t>4.</w:t>
      </w:r>
      <w:r w:rsidRPr="001C0E24">
        <w:rPr>
          <w:rFonts w:ascii="Arial" w:hAnsi="Arial" w:cs="Arial"/>
          <w:b/>
          <w:sz w:val="26"/>
          <w:szCs w:val="26"/>
        </w:rPr>
        <w:tab/>
      </w:r>
      <w:r w:rsidRPr="001C0E24">
        <w:rPr>
          <w:rFonts w:ascii="Arial" w:hAnsi="Arial" w:cs="Arial"/>
          <w:b/>
          <w:sz w:val="26"/>
          <w:szCs w:val="26"/>
          <w:u w:val="single"/>
        </w:rPr>
        <w:t>Background Papers</w:t>
      </w:r>
    </w:p>
    <w:p w:rsidRPr="001C0E24" w:rsidR="00F101F1" w:rsidP="00F101F1" w:rsidRDefault="00F101F1">
      <w:pPr>
        <w:ind w:left="284"/>
        <w:rPr>
          <w:rFonts w:ascii="Arial" w:hAnsi="Arial" w:cs="Arial"/>
          <w:b/>
          <w:sz w:val="26"/>
          <w:szCs w:val="26"/>
        </w:rPr>
      </w:pPr>
    </w:p>
    <w:p w:rsidRPr="001C0E24" w:rsidR="00B73C3D" w:rsidP="00F101F1" w:rsidRDefault="00F101F1">
      <w:pPr>
        <w:ind w:left="284"/>
        <w:rPr>
          <w:rFonts w:ascii="Arial" w:hAnsi="Arial" w:cs="Arial"/>
          <w:b/>
          <w:sz w:val="26"/>
          <w:szCs w:val="26"/>
        </w:rPr>
      </w:pPr>
      <w:r w:rsidRPr="001C0E24">
        <w:rPr>
          <w:rFonts w:ascii="Arial" w:hAnsi="Arial" w:cs="Arial"/>
          <w:sz w:val="26"/>
          <w:szCs w:val="26"/>
        </w:rPr>
        <w:t>Papers held in C</w:t>
      </w:r>
      <w:r w:rsidRPr="001C0E24" w:rsidR="00040848">
        <w:rPr>
          <w:rFonts w:ascii="Arial" w:hAnsi="Arial" w:cs="Arial"/>
          <w:sz w:val="26"/>
          <w:szCs w:val="26"/>
        </w:rPr>
        <w:t xml:space="preserve">hildren’s Services </w:t>
      </w:r>
      <w:r w:rsidRPr="001C0E24">
        <w:rPr>
          <w:rFonts w:ascii="Arial" w:hAnsi="Arial" w:cs="Arial"/>
          <w:sz w:val="26"/>
          <w:szCs w:val="26"/>
        </w:rPr>
        <w:t>Finance</w:t>
      </w:r>
      <w:r w:rsidRPr="001C0E24" w:rsidR="00A042FC">
        <w:rPr>
          <w:rFonts w:ascii="Arial" w:hAnsi="Arial" w:cs="Arial"/>
          <w:sz w:val="26"/>
          <w:szCs w:val="26"/>
        </w:rPr>
        <w:t>.</w:t>
      </w:r>
      <w:bookmarkStart w:name="_GoBack" w:id="0"/>
      <w:bookmarkEnd w:id="0"/>
    </w:p>
    <w:p w:rsidRPr="001C0E24" w:rsidR="00B73C3D" w:rsidP="00F101F1" w:rsidRDefault="00B73C3D">
      <w:pPr>
        <w:ind w:left="284"/>
        <w:rPr>
          <w:rFonts w:ascii="Arial" w:hAnsi="Arial" w:cs="Arial"/>
          <w:sz w:val="26"/>
          <w:szCs w:val="26"/>
        </w:rPr>
      </w:pPr>
    </w:p>
    <w:p w:rsidRPr="001C0E24" w:rsidR="00B73C3D" w:rsidP="00F101F1" w:rsidRDefault="00B73C3D">
      <w:pPr>
        <w:ind w:left="284"/>
        <w:rPr>
          <w:rFonts w:ascii="Arial" w:hAnsi="Arial" w:cs="Arial"/>
          <w:b/>
          <w:sz w:val="26"/>
          <w:szCs w:val="26"/>
        </w:rPr>
      </w:pPr>
      <w:r w:rsidRPr="001C0E24">
        <w:rPr>
          <w:rFonts w:ascii="Arial" w:hAnsi="Arial" w:cs="Arial"/>
          <w:b/>
          <w:sz w:val="26"/>
          <w:szCs w:val="26"/>
        </w:rPr>
        <w:t>5.</w:t>
      </w:r>
      <w:r w:rsidRPr="001C0E24">
        <w:rPr>
          <w:rFonts w:ascii="Arial" w:hAnsi="Arial" w:cs="Arial"/>
          <w:b/>
          <w:sz w:val="26"/>
          <w:szCs w:val="26"/>
        </w:rPr>
        <w:tab/>
      </w:r>
      <w:r w:rsidRPr="001C0E24">
        <w:rPr>
          <w:rFonts w:ascii="Arial" w:hAnsi="Arial" w:cs="Arial"/>
          <w:b/>
          <w:sz w:val="26"/>
          <w:szCs w:val="26"/>
          <w:u w:val="single"/>
        </w:rPr>
        <w:t>Officer’s Recommendations</w:t>
      </w:r>
      <w:r w:rsidRPr="001C0E24">
        <w:rPr>
          <w:rFonts w:ascii="Arial" w:hAnsi="Arial" w:cs="Arial"/>
          <w:b/>
          <w:sz w:val="26"/>
          <w:szCs w:val="26"/>
        </w:rPr>
        <w:t xml:space="preserve"> </w:t>
      </w:r>
    </w:p>
    <w:p w:rsidRPr="001C0E24" w:rsidR="00B73C3D" w:rsidP="00F101F1" w:rsidRDefault="00B73C3D">
      <w:pPr>
        <w:pStyle w:val="ListParagraph"/>
        <w:ind w:left="284"/>
        <w:rPr>
          <w:rFonts w:ascii="Arial" w:hAnsi="Arial" w:cs="Arial"/>
          <w:sz w:val="26"/>
          <w:szCs w:val="26"/>
        </w:rPr>
      </w:pPr>
    </w:p>
    <w:p w:rsidRPr="001C0E24" w:rsidR="00B73C3D" w:rsidP="00F101F1" w:rsidRDefault="00B73C3D">
      <w:pPr>
        <w:ind w:left="284"/>
        <w:rPr>
          <w:rFonts w:ascii="Arial" w:hAnsi="Arial" w:cs="Arial"/>
          <w:sz w:val="26"/>
          <w:szCs w:val="26"/>
        </w:rPr>
      </w:pPr>
      <w:r w:rsidRPr="001C0E24">
        <w:rPr>
          <w:rFonts w:ascii="Arial" w:hAnsi="Arial" w:cs="Arial"/>
          <w:sz w:val="26"/>
          <w:szCs w:val="26"/>
        </w:rPr>
        <w:t xml:space="preserve">The Forum is asked to </w:t>
      </w:r>
      <w:r w:rsidRPr="001C0E24" w:rsidR="00E97D82">
        <w:rPr>
          <w:rFonts w:ascii="Arial" w:hAnsi="Arial" w:cs="Arial"/>
          <w:sz w:val="26"/>
          <w:szCs w:val="26"/>
        </w:rPr>
        <w:t xml:space="preserve">note the responses to the </w:t>
      </w:r>
      <w:r w:rsidR="009E7DD9">
        <w:rPr>
          <w:rFonts w:ascii="Arial" w:hAnsi="Arial" w:cs="Arial"/>
          <w:sz w:val="26"/>
          <w:szCs w:val="26"/>
        </w:rPr>
        <w:t xml:space="preserve">mainstream </w:t>
      </w:r>
      <w:r w:rsidRPr="001C0E24" w:rsidR="00E97D82">
        <w:rPr>
          <w:rFonts w:ascii="Arial" w:hAnsi="Arial" w:cs="Arial"/>
          <w:sz w:val="26"/>
          <w:szCs w:val="26"/>
        </w:rPr>
        <w:t xml:space="preserve">consultation and offer any further </w:t>
      </w:r>
      <w:r w:rsidRPr="001C0E24">
        <w:rPr>
          <w:rFonts w:ascii="Arial" w:hAnsi="Arial" w:cs="Arial"/>
          <w:sz w:val="26"/>
          <w:szCs w:val="26"/>
        </w:rPr>
        <w:t xml:space="preserve">views </w:t>
      </w:r>
      <w:r w:rsidRPr="001C0E24" w:rsidR="00E97D82">
        <w:rPr>
          <w:rFonts w:ascii="Arial" w:hAnsi="Arial" w:cs="Arial"/>
          <w:sz w:val="26"/>
          <w:szCs w:val="26"/>
        </w:rPr>
        <w:t xml:space="preserve">to the </w:t>
      </w:r>
      <w:r w:rsidRPr="001C0E24">
        <w:rPr>
          <w:rFonts w:ascii="Arial" w:hAnsi="Arial" w:cs="Arial"/>
          <w:sz w:val="26"/>
          <w:szCs w:val="26"/>
        </w:rPr>
        <w:t>Authority.</w:t>
      </w:r>
    </w:p>
    <w:p w:rsidRPr="001C0E24" w:rsidR="00B73C3D" w:rsidP="00B73C3D" w:rsidRDefault="00B73C3D">
      <w:pPr>
        <w:ind w:left="709"/>
        <w:rPr>
          <w:rFonts w:ascii="Arial" w:hAnsi="Arial" w:cs="Arial"/>
          <w:sz w:val="26"/>
          <w:szCs w:val="26"/>
        </w:rPr>
      </w:pPr>
    </w:p>
    <w:p w:rsidRPr="001C0E24" w:rsidR="00B73C3D" w:rsidP="00B73C3D" w:rsidRDefault="00980038">
      <w:pPr>
        <w:ind w:left="709"/>
        <w:jc w:val="center"/>
        <w:rPr>
          <w:rFonts w:ascii="Arial" w:hAnsi="Arial" w:cs="Arial"/>
          <w:b/>
          <w:sz w:val="26"/>
          <w:szCs w:val="26"/>
        </w:rPr>
      </w:pPr>
      <w:r w:rsidRPr="001C0E24">
        <w:rPr>
          <w:rFonts w:ascii="Arial" w:hAnsi="Arial" w:cs="Arial"/>
          <w:b/>
          <w:sz w:val="26"/>
          <w:szCs w:val="26"/>
        </w:rPr>
        <w:t>JANE PARFREMENT</w:t>
      </w:r>
    </w:p>
    <w:p w:rsidRPr="001C0E24" w:rsidR="00B73C3D" w:rsidP="00B73C3D" w:rsidRDefault="00B73C3D">
      <w:pPr>
        <w:ind w:left="709"/>
        <w:jc w:val="center"/>
        <w:rPr>
          <w:rFonts w:ascii="Arial" w:hAnsi="Arial" w:cs="Arial"/>
          <w:b/>
          <w:sz w:val="26"/>
          <w:szCs w:val="26"/>
        </w:rPr>
      </w:pPr>
      <w:r w:rsidRPr="001C0E24">
        <w:rPr>
          <w:rFonts w:ascii="Arial" w:hAnsi="Arial" w:cs="Arial"/>
          <w:b/>
          <w:sz w:val="26"/>
          <w:szCs w:val="26"/>
        </w:rPr>
        <w:t>Strategic Director for Children</w:t>
      </w:r>
      <w:r w:rsidRPr="001C0E24" w:rsidR="00E352A1">
        <w:rPr>
          <w:rFonts w:ascii="Arial" w:hAnsi="Arial" w:cs="Arial"/>
          <w:b/>
          <w:sz w:val="26"/>
          <w:szCs w:val="26"/>
        </w:rPr>
        <w:t>’s Services</w:t>
      </w:r>
    </w:p>
    <w:p w:rsidRPr="001C0E24" w:rsidR="00A26081" w:rsidP="008B3502" w:rsidRDefault="00A26081">
      <w:pPr>
        <w:jc w:val="center"/>
        <w:rPr>
          <w:rFonts w:ascii="Arial" w:hAnsi="Arial" w:cs="Arial"/>
          <w:b/>
          <w:sz w:val="26"/>
          <w:szCs w:val="26"/>
          <w:u w:val="single"/>
        </w:rPr>
      </w:pPr>
    </w:p>
    <w:p w:rsidRPr="001C0E24" w:rsidR="00A26081" w:rsidP="00A26081" w:rsidRDefault="00A26081">
      <w:pPr>
        <w:rPr>
          <w:rFonts w:ascii="Arial" w:hAnsi="Arial" w:cs="Arial"/>
          <w:sz w:val="26"/>
          <w:szCs w:val="26"/>
        </w:rPr>
      </w:pPr>
    </w:p>
    <w:p w:rsidRPr="001C0E24" w:rsidR="00A26081" w:rsidP="00A26081" w:rsidRDefault="00A26081">
      <w:pPr>
        <w:rPr>
          <w:rFonts w:ascii="Arial" w:hAnsi="Arial" w:cs="Arial"/>
          <w:sz w:val="26"/>
          <w:szCs w:val="26"/>
        </w:rPr>
      </w:pPr>
    </w:p>
    <w:p w:rsidRPr="001C0E24" w:rsidR="00A26081" w:rsidP="00A26081" w:rsidRDefault="00A26081">
      <w:pPr>
        <w:rPr>
          <w:rFonts w:ascii="Arial" w:hAnsi="Arial" w:cs="Arial"/>
          <w:sz w:val="26"/>
          <w:szCs w:val="26"/>
        </w:rPr>
      </w:pPr>
    </w:p>
    <w:p w:rsidRPr="001C0E24" w:rsidR="00A26081" w:rsidP="00A26081" w:rsidRDefault="00A26081">
      <w:pPr>
        <w:rPr>
          <w:rFonts w:ascii="Arial" w:hAnsi="Arial" w:cs="Arial"/>
          <w:sz w:val="26"/>
          <w:szCs w:val="26"/>
        </w:rPr>
      </w:pPr>
    </w:p>
    <w:p w:rsidRPr="001C0E24" w:rsidR="00A26081" w:rsidP="00A26081" w:rsidRDefault="00A26081">
      <w:pPr>
        <w:rPr>
          <w:rFonts w:ascii="Arial" w:hAnsi="Arial" w:cs="Arial"/>
          <w:sz w:val="26"/>
          <w:szCs w:val="26"/>
        </w:rPr>
      </w:pPr>
    </w:p>
    <w:p w:rsidRPr="001C0E24" w:rsidR="00A26081" w:rsidP="00A26081" w:rsidRDefault="00A26081">
      <w:pPr>
        <w:rPr>
          <w:rFonts w:ascii="Arial" w:hAnsi="Arial" w:cs="Arial"/>
          <w:sz w:val="26"/>
          <w:szCs w:val="26"/>
        </w:rPr>
      </w:pPr>
    </w:p>
    <w:p w:rsidRPr="001C0E24" w:rsidR="00A26081" w:rsidP="00A26081" w:rsidRDefault="00A26081">
      <w:pPr>
        <w:rPr>
          <w:rFonts w:ascii="Arial" w:hAnsi="Arial" w:cs="Arial"/>
          <w:sz w:val="26"/>
          <w:szCs w:val="26"/>
        </w:rPr>
      </w:pPr>
    </w:p>
    <w:p w:rsidRPr="001C0E24" w:rsidR="00A26081" w:rsidP="00A26081" w:rsidRDefault="00A26081">
      <w:pPr>
        <w:rPr>
          <w:rFonts w:ascii="Arial" w:hAnsi="Arial" w:cs="Arial"/>
          <w:sz w:val="26"/>
          <w:szCs w:val="26"/>
        </w:rPr>
      </w:pPr>
    </w:p>
    <w:p w:rsidRPr="001C0E24" w:rsidR="00A26081" w:rsidP="00A26081" w:rsidRDefault="00A26081">
      <w:pPr>
        <w:rPr>
          <w:rFonts w:ascii="Arial" w:hAnsi="Arial" w:cs="Arial"/>
          <w:sz w:val="26"/>
          <w:szCs w:val="26"/>
        </w:rPr>
      </w:pPr>
    </w:p>
    <w:p w:rsidRPr="001C0E24" w:rsidR="00A26081" w:rsidP="00A26081" w:rsidRDefault="00A26081">
      <w:pPr>
        <w:rPr>
          <w:rFonts w:ascii="Arial" w:hAnsi="Arial" w:cs="Arial"/>
          <w:sz w:val="26"/>
          <w:szCs w:val="26"/>
        </w:rPr>
      </w:pPr>
    </w:p>
    <w:p w:rsidRPr="001C0E24" w:rsidR="00A26081" w:rsidP="00A26081" w:rsidRDefault="00A26081">
      <w:pPr>
        <w:rPr>
          <w:rFonts w:ascii="Arial" w:hAnsi="Arial" w:cs="Arial"/>
          <w:sz w:val="26"/>
          <w:szCs w:val="26"/>
        </w:rPr>
      </w:pPr>
    </w:p>
    <w:p w:rsidRPr="001C0E24" w:rsidR="00894784" w:rsidP="00A26081" w:rsidRDefault="00A26081">
      <w:pPr>
        <w:tabs>
          <w:tab w:val="center" w:pos="5103"/>
        </w:tabs>
        <w:rPr>
          <w:rFonts w:ascii="Arial" w:hAnsi="Arial" w:cs="Arial"/>
          <w:sz w:val="26"/>
          <w:szCs w:val="26"/>
        </w:rPr>
        <w:sectPr w:rsidRPr="001C0E24" w:rsidR="00894784" w:rsidSect="001C0E24">
          <w:footerReference w:type="default" r:id="rId8"/>
          <w:pgSz w:w="11906" w:h="16838"/>
          <w:pgMar w:top="426" w:right="849" w:bottom="1135" w:left="851" w:header="708" w:footer="129" w:gutter="0"/>
          <w:cols w:space="708"/>
          <w:docGrid w:linePitch="360"/>
        </w:sectPr>
      </w:pPr>
      <w:r w:rsidRPr="001C0E24">
        <w:rPr>
          <w:rFonts w:ascii="Arial" w:hAnsi="Arial" w:cs="Arial"/>
          <w:sz w:val="26"/>
          <w:szCs w:val="26"/>
        </w:rPr>
        <w:tab/>
      </w:r>
    </w:p>
    <w:p w:rsidRPr="001C0E24" w:rsidR="001C0E24" w:rsidP="00807774" w:rsidRDefault="00807774">
      <w:pPr>
        <w:tabs>
          <w:tab w:val="left" w:pos="8931"/>
        </w:tabs>
        <w:rPr>
          <w:rFonts w:ascii="Arial" w:hAnsi="Arial" w:cs="Arial"/>
          <w:szCs w:val="24"/>
        </w:rPr>
      </w:pPr>
      <w:r>
        <w:rPr>
          <w:rFonts w:ascii="Arial" w:hAnsi="Arial" w:cs="Arial"/>
          <w:szCs w:val="24"/>
          <w:u w:val="single"/>
        </w:rPr>
        <w:lastRenderedPageBreak/>
        <w:t>I</w:t>
      </w:r>
      <w:r w:rsidRPr="00807774" w:rsidR="001C0E24">
        <w:rPr>
          <w:rFonts w:ascii="Arial" w:hAnsi="Arial" w:cs="Arial"/>
          <w:szCs w:val="24"/>
          <w:u w:val="single"/>
        </w:rPr>
        <w:t xml:space="preserve">ssues raised </w:t>
      </w:r>
      <w:r>
        <w:rPr>
          <w:rFonts w:ascii="Arial" w:hAnsi="Arial" w:cs="Arial"/>
          <w:szCs w:val="24"/>
          <w:u w:val="single"/>
        </w:rPr>
        <w:t xml:space="preserve">by </w:t>
      </w:r>
      <w:r w:rsidRPr="00807774" w:rsidR="001C0E24">
        <w:rPr>
          <w:rFonts w:ascii="Arial" w:hAnsi="Arial" w:cs="Arial"/>
          <w:szCs w:val="24"/>
          <w:u w:val="single"/>
        </w:rPr>
        <w:t>schools/academies</w:t>
      </w:r>
      <w:r w:rsidRPr="001C0E24" w:rsidR="001C0E24">
        <w:rPr>
          <w:rFonts w:ascii="Arial" w:hAnsi="Arial" w:cs="Arial"/>
          <w:szCs w:val="24"/>
        </w:rPr>
        <w:tab/>
      </w:r>
      <w:r w:rsidRPr="00807774" w:rsidR="001C0E24">
        <w:rPr>
          <w:rFonts w:ascii="Arial" w:hAnsi="Arial" w:cs="Arial"/>
          <w:szCs w:val="24"/>
          <w:u w:val="single"/>
        </w:rPr>
        <w:t>Appendix 1</w:t>
      </w:r>
    </w:p>
    <w:p w:rsidRPr="001C0E24" w:rsidR="001C0E24" w:rsidP="00F56B73" w:rsidRDefault="001C0E24">
      <w:pPr>
        <w:tabs>
          <w:tab w:val="left" w:pos="8364"/>
        </w:tabs>
        <w:ind w:left="567"/>
        <w:rPr>
          <w:rFonts w:ascii="Arial" w:hAnsi="Arial" w:cs="Arial"/>
          <w:szCs w:val="24"/>
        </w:rPr>
      </w:pPr>
    </w:p>
    <w:p w:rsidR="004047D7" w:rsidP="004047D7" w:rsidRDefault="004047D7">
      <w:pPr>
        <w:rPr>
          <w:rFonts w:ascii="Arial" w:hAnsi="Arial" w:eastAsia="Times New Roman" w:cs="Arial"/>
          <w:bCs/>
          <w:color w:val="000000"/>
          <w:sz w:val="22"/>
          <w:lang w:eastAsia="en-GB"/>
        </w:rPr>
      </w:pPr>
      <w:r w:rsidRPr="001C0E24">
        <w:rPr>
          <w:rFonts w:ascii="Arial" w:hAnsi="Arial" w:eastAsia="Times New Roman" w:cs="Arial"/>
          <w:b/>
          <w:bCs/>
          <w:color w:val="000000"/>
          <w:sz w:val="22"/>
          <w:lang w:eastAsia="en-GB"/>
        </w:rPr>
        <w:t>Q2.</w:t>
      </w:r>
      <w:r w:rsidRPr="001C0E24">
        <w:rPr>
          <w:rFonts w:ascii="Arial" w:hAnsi="Arial" w:eastAsia="Times New Roman" w:cs="Arial"/>
          <w:bCs/>
          <w:color w:val="000000"/>
          <w:sz w:val="22"/>
          <w:lang w:eastAsia="en-GB"/>
        </w:rPr>
        <w:t xml:space="preserve"> If the answer to Q1 </w:t>
      </w:r>
      <w:r>
        <w:rPr>
          <w:rFonts w:ascii="Arial" w:hAnsi="Arial" w:eastAsia="Times New Roman" w:cs="Arial"/>
          <w:bCs/>
          <w:color w:val="000000"/>
          <w:sz w:val="22"/>
          <w:lang w:eastAsia="en-GB"/>
        </w:rPr>
        <w:t xml:space="preserve">was </w:t>
      </w:r>
      <w:r w:rsidRPr="001C0E24">
        <w:rPr>
          <w:rFonts w:ascii="Arial" w:hAnsi="Arial" w:eastAsia="Times New Roman" w:cs="Arial"/>
          <w:bCs/>
          <w:color w:val="000000"/>
          <w:sz w:val="22"/>
          <w:lang w:eastAsia="en-GB"/>
        </w:rPr>
        <w:t>no</w:t>
      </w:r>
      <w:r>
        <w:rPr>
          <w:rFonts w:ascii="Arial" w:hAnsi="Arial" w:eastAsia="Times New Roman" w:cs="Arial"/>
          <w:bCs/>
          <w:color w:val="000000"/>
          <w:sz w:val="22"/>
          <w:lang w:eastAsia="en-GB"/>
        </w:rPr>
        <w:t xml:space="preserve"> (i.e. you don’t agree with the LA’s formula proposals)</w:t>
      </w:r>
      <w:r w:rsidRPr="001C0E24">
        <w:rPr>
          <w:rFonts w:ascii="Arial" w:hAnsi="Arial" w:eastAsia="Times New Roman" w:cs="Arial"/>
          <w:bCs/>
          <w:color w:val="000000"/>
          <w:sz w:val="22"/>
          <w:lang w:eastAsia="en-GB"/>
        </w:rPr>
        <w:t>, what other changes should the LA make as part of the transition to the NFF instead?</w:t>
      </w:r>
    </w:p>
    <w:p w:rsidR="001C0E24" w:rsidP="001C0E24" w:rsidRDefault="001C0E24">
      <w:pPr>
        <w:rPr>
          <w:rFonts w:ascii="Arial" w:hAnsi="Arial" w:eastAsia="Times New Roman" w:cs="Arial"/>
          <w:bCs/>
          <w:color w:val="000000"/>
          <w:sz w:val="22"/>
          <w:lang w:eastAsia="en-GB"/>
        </w:rPr>
      </w:pPr>
    </w:p>
    <w:p w:rsidRPr="001C0E24" w:rsidR="001C0E24" w:rsidP="00E10E5A" w:rsidRDefault="001C0E24">
      <w:pPr>
        <w:pStyle w:val="ListParagraph"/>
        <w:numPr>
          <w:ilvl w:val="0"/>
          <w:numId w:val="22"/>
        </w:numPr>
        <w:ind w:hanging="720"/>
        <w:rPr>
          <w:rFonts w:ascii="Arial" w:hAnsi="Arial" w:eastAsia="Times New Roman" w:cs="Arial"/>
          <w:bCs/>
          <w:color w:val="000000"/>
          <w:sz w:val="22"/>
          <w:lang w:eastAsia="en-GB"/>
        </w:rPr>
      </w:pPr>
      <w:r>
        <w:rPr>
          <w:rFonts w:ascii="Arial" w:hAnsi="Arial" w:eastAsia="Times New Roman" w:cs="Arial"/>
          <w:bCs/>
          <w:color w:val="000000"/>
          <w:sz w:val="22"/>
          <w:lang w:eastAsia="en-GB"/>
        </w:rPr>
        <w:t>A d</w:t>
      </w:r>
      <w:r w:rsidRPr="001C0E24">
        <w:rPr>
          <w:rFonts w:ascii="Arial" w:hAnsi="Arial" w:eastAsia="Times New Roman" w:cs="Arial"/>
          <w:bCs/>
          <w:color w:val="000000"/>
          <w:sz w:val="22"/>
          <w:lang w:eastAsia="en-GB"/>
        </w:rPr>
        <w:t>esire to see a higher minimum threshold in 2018-19</w:t>
      </w:r>
    </w:p>
    <w:p w:rsidRPr="001C0E24" w:rsidR="001C0E24" w:rsidP="00E10E5A" w:rsidRDefault="001C0E24">
      <w:pPr>
        <w:pStyle w:val="ListParagraph"/>
        <w:numPr>
          <w:ilvl w:val="0"/>
          <w:numId w:val="22"/>
        </w:numPr>
        <w:ind w:hanging="720"/>
        <w:rPr>
          <w:rFonts w:ascii="Arial" w:hAnsi="Arial" w:eastAsia="Times New Roman" w:cs="Arial"/>
          <w:bCs/>
          <w:color w:val="000000"/>
          <w:sz w:val="22"/>
          <w:lang w:eastAsia="en-GB"/>
        </w:rPr>
      </w:pPr>
      <w:r w:rsidRPr="001C0E24">
        <w:rPr>
          <w:rFonts w:ascii="Arial" w:hAnsi="Arial" w:eastAsia="Times New Roman" w:cs="Arial"/>
          <w:bCs/>
          <w:color w:val="000000"/>
          <w:sz w:val="22"/>
          <w:lang w:eastAsia="en-GB"/>
        </w:rPr>
        <w:t>The NFF should be implemented in full, if there are gains for some schools this indicates that they are underfunded.</w:t>
      </w:r>
    </w:p>
    <w:p w:rsidR="001C0E24" w:rsidP="00E10E5A" w:rsidRDefault="001C0E24">
      <w:pPr>
        <w:pStyle w:val="ListParagraph"/>
        <w:numPr>
          <w:ilvl w:val="0"/>
          <w:numId w:val="22"/>
        </w:numPr>
        <w:ind w:hanging="720"/>
        <w:rPr>
          <w:rFonts w:ascii="Arial" w:hAnsi="Arial" w:eastAsia="Times New Roman" w:cs="Arial"/>
          <w:bCs/>
          <w:color w:val="000000"/>
          <w:sz w:val="22"/>
          <w:lang w:eastAsia="en-GB"/>
        </w:rPr>
      </w:pPr>
      <w:r w:rsidRPr="001C0E24">
        <w:rPr>
          <w:rFonts w:ascii="Arial" w:hAnsi="Arial" w:eastAsia="Times New Roman" w:cs="Arial"/>
          <w:bCs/>
          <w:color w:val="000000"/>
          <w:sz w:val="22"/>
          <w:lang w:eastAsia="en-GB"/>
        </w:rPr>
        <w:t xml:space="preserve">The LA should seek to increase the low prior attainment factor from the </w:t>
      </w:r>
      <w:r w:rsidR="004047D7">
        <w:rPr>
          <w:rFonts w:ascii="Arial" w:hAnsi="Arial" w:eastAsia="Times New Roman" w:cs="Arial"/>
          <w:bCs/>
          <w:color w:val="000000"/>
          <w:sz w:val="22"/>
          <w:lang w:eastAsia="en-GB"/>
        </w:rPr>
        <w:t xml:space="preserve">proposed </w:t>
      </w:r>
      <w:r w:rsidRPr="001C0E24">
        <w:rPr>
          <w:rFonts w:ascii="Arial" w:hAnsi="Arial" w:eastAsia="Times New Roman" w:cs="Arial"/>
          <w:bCs/>
          <w:color w:val="000000"/>
          <w:sz w:val="22"/>
          <w:lang w:eastAsia="en-GB"/>
        </w:rPr>
        <w:t>£540 nearer to the £1,050 figure</w:t>
      </w:r>
      <w:r w:rsidR="004047D7">
        <w:rPr>
          <w:rFonts w:ascii="Arial" w:hAnsi="Arial" w:eastAsia="Times New Roman" w:cs="Arial"/>
          <w:bCs/>
          <w:color w:val="000000"/>
          <w:sz w:val="22"/>
          <w:lang w:eastAsia="en-GB"/>
        </w:rPr>
        <w:t xml:space="preserve"> by setting a less generous MFG</w:t>
      </w:r>
    </w:p>
    <w:p w:rsidR="001C0E24" w:rsidP="00E10E5A" w:rsidRDefault="001C0E24">
      <w:pPr>
        <w:pStyle w:val="ListParagraph"/>
        <w:numPr>
          <w:ilvl w:val="0"/>
          <w:numId w:val="22"/>
        </w:numPr>
        <w:ind w:hanging="720"/>
        <w:rPr>
          <w:rFonts w:ascii="Arial" w:hAnsi="Arial" w:eastAsia="Times New Roman" w:cs="Arial"/>
          <w:bCs/>
          <w:color w:val="000000"/>
          <w:sz w:val="22"/>
          <w:lang w:eastAsia="en-GB"/>
        </w:rPr>
      </w:pPr>
      <w:r>
        <w:rPr>
          <w:rFonts w:ascii="Arial" w:hAnsi="Arial" w:eastAsia="Times New Roman" w:cs="Arial"/>
          <w:bCs/>
          <w:color w:val="000000"/>
          <w:sz w:val="22"/>
          <w:lang w:eastAsia="en-GB"/>
        </w:rPr>
        <w:t>Greater protection for small rural schools – schools with efficient class size of 20+ per year group stand to gain much more significantly than those with small rolls</w:t>
      </w:r>
    </w:p>
    <w:p w:rsidR="001C0E24" w:rsidP="00E10E5A" w:rsidRDefault="001C0E24">
      <w:pPr>
        <w:pStyle w:val="ListParagraph"/>
        <w:numPr>
          <w:ilvl w:val="0"/>
          <w:numId w:val="22"/>
        </w:numPr>
        <w:ind w:hanging="720"/>
        <w:rPr>
          <w:rFonts w:ascii="Arial" w:hAnsi="Arial" w:eastAsia="Times New Roman" w:cs="Arial"/>
          <w:bCs/>
          <w:color w:val="000000"/>
          <w:sz w:val="22"/>
          <w:lang w:eastAsia="en-GB"/>
        </w:rPr>
      </w:pPr>
      <w:r>
        <w:rPr>
          <w:rFonts w:ascii="Arial" w:hAnsi="Arial" w:eastAsia="Times New Roman" w:cs="Arial"/>
          <w:bCs/>
          <w:color w:val="000000"/>
          <w:sz w:val="22"/>
          <w:lang w:eastAsia="en-GB"/>
        </w:rPr>
        <w:t>Disagreement with the proposal that schools who gain should subsidise those that lose out with the introduction of the NFF. This is penalising the students currently atten</w:t>
      </w:r>
      <w:r w:rsidR="004047D7">
        <w:rPr>
          <w:rFonts w:ascii="Arial" w:hAnsi="Arial" w:eastAsia="Times New Roman" w:cs="Arial"/>
          <w:bCs/>
          <w:color w:val="000000"/>
          <w:sz w:val="22"/>
          <w:lang w:eastAsia="en-GB"/>
        </w:rPr>
        <w:t>ding our school</w:t>
      </w:r>
    </w:p>
    <w:p w:rsidRPr="001C0E24" w:rsidR="004047D7" w:rsidP="00E10E5A" w:rsidRDefault="004047D7">
      <w:pPr>
        <w:pStyle w:val="ListParagraph"/>
        <w:numPr>
          <w:ilvl w:val="0"/>
          <w:numId w:val="22"/>
        </w:numPr>
        <w:ind w:hanging="720"/>
        <w:rPr>
          <w:rFonts w:ascii="Arial" w:hAnsi="Arial" w:eastAsia="Times New Roman" w:cs="Arial"/>
          <w:bCs/>
          <w:color w:val="000000"/>
          <w:sz w:val="22"/>
          <w:lang w:eastAsia="en-GB"/>
        </w:rPr>
      </w:pPr>
      <w:r>
        <w:rPr>
          <w:rFonts w:ascii="Arial" w:hAnsi="Arial" w:eastAsia="Times New Roman" w:cs="Arial"/>
          <w:bCs/>
          <w:color w:val="000000"/>
          <w:sz w:val="22"/>
          <w:lang w:eastAsia="en-GB"/>
        </w:rPr>
        <w:t>Concerns that the gains of some schools are being held back to support the schools that will lose</w:t>
      </w:r>
    </w:p>
    <w:p w:rsidR="004047D7" w:rsidP="004047D7" w:rsidRDefault="004047D7">
      <w:pPr>
        <w:rPr>
          <w:rFonts w:ascii="Arial" w:hAnsi="Arial" w:eastAsia="Times New Roman" w:cs="Arial"/>
          <w:bCs/>
          <w:color w:val="000000"/>
          <w:sz w:val="22"/>
          <w:lang w:eastAsia="en-GB"/>
        </w:rPr>
      </w:pPr>
    </w:p>
    <w:p w:rsidR="004047D7" w:rsidP="004047D7" w:rsidRDefault="004047D7">
      <w:pPr>
        <w:rPr>
          <w:rFonts w:ascii="Arial" w:hAnsi="Arial" w:eastAsia="Times New Roman" w:cs="Arial"/>
          <w:bCs/>
          <w:color w:val="000000"/>
          <w:sz w:val="22"/>
          <w:lang w:eastAsia="en-GB"/>
        </w:rPr>
      </w:pPr>
      <w:r w:rsidRPr="001C0E24">
        <w:rPr>
          <w:rFonts w:ascii="Arial" w:hAnsi="Arial" w:eastAsia="Times New Roman" w:cs="Arial"/>
          <w:b/>
          <w:bCs/>
          <w:color w:val="000000"/>
          <w:sz w:val="22"/>
          <w:lang w:eastAsia="en-GB"/>
        </w:rPr>
        <w:t>Q</w:t>
      </w:r>
      <w:r>
        <w:rPr>
          <w:rFonts w:ascii="Arial" w:hAnsi="Arial" w:eastAsia="Times New Roman" w:cs="Arial"/>
          <w:b/>
          <w:bCs/>
          <w:color w:val="000000"/>
          <w:sz w:val="22"/>
          <w:lang w:eastAsia="en-GB"/>
        </w:rPr>
        <w:t>4a/b</w:t>
      </w:r>
      <w:r w:rsidRPr="001C0E24">
        <w:rPr>
          <w:rFonts w:ascii="Arial" w:hAnsi="Arial" w:eastAsia="Times New Roman" w:cs="Arial"/>
          <w:b/>
          <w:bCs/>
          <w:color w:val="000000"/>
          <w:sz w:val="22"/>
          <w:lang w:eastAsia="en-GB"/>
        </w:rPr>
        <w:t>.</w:t>
      </w:r>
      <w:r w:rsidRPr="001C0E24">
        <w:rPr>
          <w:rFonts w:ascii="Arial" w:hAnsi="Arial" w:eastAsia="Times New Roman" w:cs="Arial"/>
          <w:bCs/>
          <w:color w:val="000000"/>
          <w:sz w:val="22"/>
          <w:lang w:eastAsia="en-GB"/>
        </w:rPr>
        <w:t xml:space="preserve"> If the answer to Q</w:t>
      </w:r>
      <w:r>
        <w:rPr>
          <w:rFonts w:ascii="Arial" w:hAnsi="Arial" w:eastAsia="Times New Roman" w:cs="Arial"/>
          <w:bCs/>
          <w:color w:val="000000"/>
          <w:sz w:val="22"/>
          <w:lang w:eastAsia="en-GB"/>
        </w:rPr>
        <w:t>3</w:t>
      </w:r>
      <w:r w:rsidRPr="001C0E24">
        <w:rPr>
          <w:rFonts w:ascii="Arial" w:hAnsi="Arial" w:eastAsia="Times New Roman" w:cs="Arial"/>
          <w:bCs/>
          <w:color w:val="000000"/>
          <w:sz w:val="22"/>
          <w:lang w:eastAsia="en-GB"/>
        </w:rPr>
        <w:t xml:space="preserve"> </w:t>
      </w:r>
      <w:r>
        <w:rPr>
          <w:rFonts w:ascii="Arial" w:hAnsi="Arial" w:eastAsia="Times New Roman" w:cs="Arial"/>
          <w:bCs/>
          <w:color w:val="000000"/>
          <w:sz w:val="22"/>
          <w:lang w:eastAsia="en-GB"/>
        </w:rPr>
        <w:t xml:space="preserve">was </w:t>
      </w:r>
      <w:r w:rsidRPr="001C0E24">
        <w:rPr>
          <w:rFonts w:ascii="Arial" w:hAnsi="Arial" w:eastAsia="Times New Roman" w:cs="Arial"/>
          <w:bCs/>
          <w:color w:val="000000"/>
          <w:sz w:val="22"/>
          <w:lang w:eastAsia="en-GB"/>
        </w:rPr>
        <w:t>no</w:t>
      </w:r>
      <w:r>
        <w:rPr>
          <w:rFonts w:ascii="Arial" w:hAnsi="Arial" w:eastAsia="Times New Roman" w:cs="Arial"/>
          <w:bCs/>
          <w:color w:val="000000"/>
          <w:sz w:val="22"/>
          <w:lang w:eastAsia="en-GB"/>
        </w:rPr>
        <w:t xml:space="preserve"> (i.e. you don’t agree with the LA’s proposed +0.5% MFG)</w:t>
      </w:r>
      <w:r w:rsidRPr="001C0E24">
        <w:rPr>
          <w:rFonts w:ascii="Arial" w:hAnsi="Arial" w:eastAsia="Times New Roman" w:cs="Arial"/>
          <w:bCs/>
          <w:color w:val="000000"/>
          <w:sz w:val="22"/>
          <w:lang w:eastAsia="en-GB"/>
        </w:rPr>
        <w:t xml:space="preserve">, what </w:t>
      </w:r>
      <w:r>
        <w:rPr>
          <w:rFonts w:ascii="Arial" w:hAnsi="Arial" w:eastAsia="Times New Roman" w:cs="Arial"/>
          <w:bCs/>
          <w:color w:val="000000"/>
          <w:sz w:val="22"/>
          <w:lang w:eastAsia="en-GB"/>
        </w:rPr>
        <w:t>figure should apply instead and why</w:t>
      </w:r>
      <w:r w:rsidRPr="001C0E24">
        <w:rPr>
          <w:rFonts w:ascii="Arial" w:hAnsi="Arial" w:eastAsia="Times New Roman" w:cs="Arial"/>
          <w:bCs/>
          <w:color w:val="000000"/>
          <w:sz w:val="22"/>
          <w:lang w:eastAsia="en-GB"/>
        </w:rPr>
        <w:t>?</w:t>
      </w:r>
    </w:p>
    <w:p w:rsidR="001C0E24" w:rsidP="001C0E24" w:rsidRDefault="001C0E24">
      <w:pPr>
        <w:rPr>
          <w:rFonts w:ascii="Arial" w:hAnsi="Arial" w:eastAsia="Times New Roman" w:cs="Arial"/>
          <w:bCs/>
          <w:color w:val="000000"/>
          <w:sz w:val="22"/>
          <w:lang w:eastAsia="en-GB"/>
        </w:rPr>
      </w:pPr>
    </w:p>
    <w:p w:rsidR="004047D7" w:rsidP="00E10E5A" w:rsidRDefault="004047D7">
      <w:pPr>
        <w:pStyle w:val="ListParagraph"/>
        <w:numPr>
          <w:ilvl w:val="0"/>
          <w:numId w:val="21"/>
        </w:numPr>
        <w:ind w:hanging="720"/>
        <w:rPr>
          <w:rFonts w:ascii="Arial" w:hAnsi="Arial" w:eastAsia="Times New Roman" w:cs="Arial"/>
          <w:bCs/>
          <w:color w:val="000000"/>
          <w:sz w:val="22"/>
          <w:lang w:eastAsia="en-GB"/>
        </w:rPr>
      </w:pPr>
      <w:r>
        <w:rPr>
          <w:rFonts w:ascii="Arial" w:hAnsi="Arial" w:eastAsia="Times New Roman" w:cs="Arial"/>
          <w:bCs/>
          <w:color w:val="000000"/>
          <w:sz w:val="22"/>
          <w:lang w:eastAsia="en-GB"/>
        </w:rPr>
        <w:t>Concerns that 0.5% might not be enough over the medium term. Suggest 0.5% but moving to 0% over a period of time to ensure schools are self-sustaining</w:t>
      </w:r>
    </w:p>
    <w:p w:rsidR="004047D7" w:rsidP="00E10E5A" w:rsidRDefault="004047D7">
      <w:pPr>
        <w:pStyle w:val="ListParagraph"/>
        <w:numPr>
          <w:ilvl w:val="0"/>
          <w:numId w:val="21"/>
        </w:numPr>
        <w:ind w:hanging="720"/>
        <w:rPr>
          <w:rFonts w:ascii="Arial" w:hAnsi="Arial" w:eastAsia="Times New Roman" w:cs="Arial"/>
          <w:bCs/>
          <w:color w:val="000000"/>
          <w:sz w:val="22"/>
          <w:lang w:eastAsia="en-GB"/>
        </w:rPr>
      </w:pPr>
      <w:r>
        <w:rPr>
          <w:rFonts w:ascii="Arial" w:hAnsi="Arial" w:eastAsia="Times New Roman" w:cs="Arial"/>
          <w:bCs/>
          <w:color w:val="000000"/>
          <w:sz w:val="22"/>
          <w:lang w:eastAsia="en-GB"/>
        </w:rPr>
        <w:t>Maximum of 0% with a phased reduction in the lump sum if the NFF is not applied in full</w:t>
      </w:r>
    </w:p>
    <w:p w:rsidR="004047D7" w:rsidP="00E10E5A" w:rsidRDefault="004047D7">
      <w:pPr>
        <w:pStyle w:val="ListParagraph"/>
        <w:numPr>
          <w:ilvl w:val="0"/>
          <w:numId w:val="21"/>
        </w:numPr>
        <w:ind w:hanging="720"/>
        <w:rPr>
          <w:rFonts w:ascii="Arial" w:hAnsi="Arial" w:eastAsia="Times New Roman" w:cs="Arial"/>
          <w:bCs/>
          <w:color w:val="000000"/>
          <w:sz w:val="22"/>
          <w:lang w:eastAsia="en-GB"/>
        </w:rPr>
      </w:pPr>
      <w:r>
        <w:rPr>
          <w:rFonts w:ascii="Arial" w:hAnsi="Arial" w:eastAsia="Times New Roman" w:cs="Arial"/>
          <w:bCs/>
          <w:color w:val="000000"/>
          <w:sz w:val="22"/>
          <w:lang w:eastAsia="en-GB"/>
        </w:rPr>
        <w:t>Greater support for small rural schools needed</w:t>
      </w:r>
    </w:p>
    <w:p w:rsidR="004047D7" w:rsidP="00E10E5A" w:rsidRDefault="004047D7">
      <w:pPr>
        <w:pStyle w:val="ListParagraph"/>
        <w:numPr>
          <w:ilvl w:val="0"/>
          <w:numId w:val="21"/>
        </w:numPr>
        <w:ind w:hanging="720"/>
        <w:rPr>
          <w:rFonts w:ascii="Arial" w:hAnsi="Arial" w:eastAsia="Times New Roman" w:cs="Arial"/>
          <w:bCs/>
          <w:color w:val="000000"/>
          <w:sz w:val="22"/>
          <w:lang w:eastAsia="en-GB"/>
        </w:rPr>
      </w:pPr>
      <w:r>
        <w:rPr>
          <w:rFonts w:ascii="Arial" w:hAnsi="Arial" w:eastAsia="Times New Roman" w:cs="Arial"/>
          <w:bCs/>
          <w:color w:val="000000"/>
          <w:sz w:val="22"/>
          <w:lang w:eastAsia="en-GB"/>
        </w:rPr>
        <w:t>The MFG should be -1.5% per pupil</w:t>
      </w:r>
      <w:r w:rsidRPr="004047D7">
        <w:rPr>
          <w:rFonts w:ascii="Arial" w:hAnsi="Arial" w:eastAsia="Times New Roman" w:cs="Arial"/>
          <w:bCs/>
          <w:color w:val="000000"/>
          <w:sz w:val="22"/>
          <w:lang w:eastAsia="en-GB"/>
        </w:rPr>
        <w:t xml:space="preserve"> </w:t>
      </w:r>
    </w:p>
    <w:p w:rsidR="004047D7" w:rsidP="00E10E5A" w:rsidRDefault="004047D7">
      <w:pPr>
        <w:pStyle w:val="ListParagraph"/>
        <w:numPr>
          <w:ilvl w:val="0"/>
          <w:numId w:val="21"/>
        </w:numPr>
        <w:ind w:hanging="720"/>
        <w:rPr>
          <w:rFonts w:ascii="Arial" w:hAnsi="Arial" w:eastAsia="Times New Roman" w:cs="Arial"/>
          <w:bCs/>
          <w:color w:val="000000"/>
          <w:sz w:val="22"/>
          <w:lang w:eastAsia="en-GB"/>
        </w:rPr>
      </w:pPr>
      <w:r>
        <w:rPr>
          <w:rFonts w:ascii="Arial" w:hAnsi="Arial" w:eastAsia="Times New Roman" w:cs="Arial"/>
          <w:bCs/>
          <w:color w:val="000000"/>
          <w:sz w:val="22"/>
          <w:lang w:eastAsia="en-GB"/>
        </w:rPr>
        <w:t>The MFG should be 0% per pupil</w:t>
      </w:r>
    </w:p>
    <w:p w:rsidR="004047D7" w:rsidP="00E10E5A" w:rsidRDefault="004047D7">
      <w:pPr>
        <w:pStyle w:val="ListParagraph"/>
        <w:numPr>
          <w:ilvl w:val="0"/>
          <w:numId w:val="21"/>
        </w:numPr>
        <w:ind w:hanging="720"/>
        <w:rPr>
          <w:rFonts w:ascii="Arial" w:hAnsi="Arial" w:eastAsia="Times New Roman" w:cs="Arial"/>
          <w:bCs/>
          <w:color w:val="000000"/>
          <w:sz w:val="22"/>
          <w:lang w:eastAsia="en-GB"/>
        </w:rPr>
      </w:pPr>
      <w:r>
        <w:rPr>
          <w:rFonts w:ascii="Arial" w:hAnsi="Arial" w:eastAsia="Times New Roman" w:cs="Arial"/>
          <w:bCs/>
          <w:color w:val="000000"/>
          <w:sz w:val="22"/>
          <w:lang w:eastAsia="en-GB"/>
        </w:rPr>
        <w:t>We cannot keep supporting small schools, they should amalgamate to give good value for money</w:t>
      </w:r>
    </w:p>
    <w:p w:rsidRPr="00FC4B73" w:rsidR="00FC4B73" w:rsidP="00E10E5A" w:rsidRDefault="00FC4B73">
      <w:pPr>
        <w:pStyle w:val="ListParagraph"/>
        <w:numPr>
          <w:ilvl w:val="0"/>
          <w:numId w:val="21"/>
        </w:numPr>
        <w:ind w:hanging="720"/>
        <w:rPr>
          <w:rFonts w:ascii="Arial" w:hAnsi="Arial" w:eastAsia="Times New Roman" w:cs="Arial"/>
          <w:bCs/>
          <w:color w:val="000000"/>
          <w:sz w:val="22"/>
          <w:lang w:eastAsia="en-GB"/>
        </w:rPr>
      </w:pPr>
      <w:r w:rsidRPr="00FC4B73">
        <w:rPr>
          <w:rFonts w:ascii="Arial" w:hAnsi="Arial" w:eastAsia="Times New Roman" w:cs="Arial"/>
          <w:bCs/>
          <w:color w:val="000000"/>
          <w:sz w:val="22"/>
          <w:lang w:eastAsia="en-GB"/>
        </w:rPr>
        <w:t>As all schools are facing increased costs year on year, it is important that all schools see an increase in their budget to be able to manage such increases.</w:t>
      </w:r>
    </w:p>
    <w:p w:rsidRPr="006D17CF" w:rsidR="00FC4B73" w:rsidP="00E10E5A" w:rsidRDefault="006D17CF">
      <w:pPr>
        <w:pStyle w:val="ListParagraph"/>
        <w:numPr>
          <w:ilvl w:val="0"/>
          <w:numId w:val="21"/>
        </w:numPr>
        <w:ind w:hanging="720"/>
        <w:rPr>
          <w:rFonts w:ascii="Arial" w:hAnsi="Arial" w:eastAsia="Times New Roman" w:cs="Arial"/>
          <w:bCs/>
          <w:color w:val="000000"/>
          <w:sz w:val="22"/>
          <w:lang w:eastAsia="en-GB"/>
        </w:rPr>
      </w:pPr>
      <w:r>
        <w:rPr>
          <w:rFonts w:ascii="Arial" w:hAnsi="Arial" w:eastAsia="Times New Roman" w:cs="Arial"/>
          <w:bCs/>
          <w:color w:val="000000"/>
          <w:sz w:val="22"/>
          <w:lang w:eastAsia="en-GB"/>
        </w:rPr>
        <w:t>Concerns that t</w:t>
      </w:r>
      <w:r w:rsidRPr="00FC4B73" w:rsidR="00FC4B73">
        <w:rPr>
          <w:rFonts w:ascii="Arial" w:hAnsi="Arial" w:eastAsia="Times New Roman" w:cs="Arial"/>
          <w:bCs/>
          <w:color w:val="000000"/>
          <w:sz w:val="22"/>
          <w:lang w:eastAsia="en-GB"/>
        </w:rPr>
        <w:t xml:space="preserve">his appears to be a step to continually protect schools that need to address their financial circumstances, in turn impacting on schools that are due to benefit from a long overdue NFF.   Schools need to prepare for the NFF by adjusting their spending accordingly over the next two years.  The proposal to revert from the recent trend of a -1.5% MFG to a +0.5% MFG suggests that the impact will fall on those schools that have been underfunded most through the Derbyshire Formula. Continued overprotection </w:t>
      </w:r>
      <w:r w:rsidR="00A230D3">
        <w:rPr>
          <w:rFonts w:ascii="Arial" w:hAnsi="Arial" w:eastAsia="Times New Roman" w:cs="Arial"/>
          <w:bCs/>
          <w:color w:val="000000"/>
          <w:sz w:val="22"/>
          <w:lang w:eastAsia="en-GB"/>
        </w:rPr>
        <w:t>&amp;</w:t>
      </w:r>
      <w:r w:rsidRPr="00FC4B73" w:rsidR="00FC4B73">
        <w:rPr>
          <w:rFonts w:ascii="Arial" w:hAnsi="Arial" w:eastAsia="Times New Roman" w:cs="Arial"/>
          <w:bCs/>
          <w:color w:val="000000"/>
          <w:sz w:val="22"/>
          <w:lang w:eastAsia="en-GB"/>
        </w:rPr>
        <w:t xml:space="preserve"> desire for turbulence avoidance will leave some schools on a cliff edge in 2020-21 and those schools the NFF is designed to support will co</w:t>
      </w:r>
      <w:r w:rsidR="00A230D3">
        <w:rPr>
          <w:rFonts w:ascii="Arial" w:hAnsi="Arial" w:eastAsia="Times New Roman" w:cs="Arial"/>
          <w:bCs/>
          <w:color w:val="000000"/>
          <w:sz w:val="22"/>
          <w:lang w:eastAsia="en-GB"/>
        </w:rPr>
        <w:t>ntinue to financially struggle.</w:t>
      </w:r>
    </w:p>
    <w:p w:rsidR="00FC4B73" w:rsidP="00E10E5A" w:rsidRDefault="00FC4B73">
      <w:pPr>
        <w:pStyle w:val="ListParagraph"/>
        <w:numPr>
          <w:ilvl w:val="0"/>
          <w:numId w:val="21"/>
        </w:numPr>
        <w:ind w:hanging="720"/>
        <w:rPr>
          <w:rFonts w:ascii="Arial" w:hAnsi="Arial" w:eastAsia="Times New Roman" w:cs="Arial"/>
          <w:bCs/>
          <w:color w:val="000000"/>
          <w:sz w:val="22"/>
          <w:lang w:eastAsia="en-GB"/>
        </w:rPr>
      </w:pPr>
      <w:r w:rsidRPr="00FC4B73">
        <w:rPr>
          <w:rFonts w:ascii="Arial" w:hAnsi="Arial" w:eastAsia="Times New Roman" w:cs="Arial"/>
          <w:bCs/>
          <w:color w:val="000000"/>
          <w:sz w:val="22"/>
          <w:lang w:eastAsia="en-GB"/>
        </w:rPr>
        <w:t>Schools need all of the money that should be funding the education of their students</w:t>
      </w:r>
      <w:r>
        <w:rPr>
          <w:rFonts w:ascii="Arial" w:hAnsi="Arial" w:eastAsia="Times New Roman" w:cs="Arial"/>
          <w:bCs/>
          <w:color w:val="000000"/>
          <w:sz w:val="22"/>
          <w:lang w:eastAsia="en-GB"/>
        </w:rPr>
        <w:t xml:space="preserve">.  </w:t>
      </w:r>
      <w:r w:rsidRPr="00FC4B73">
        <w:rPr>
          <w:rFonts w:ascii="Arial" w:hAnsi="Arial" w:eastAsia="Times New Roman" w:cs="Arial"/>
          <w:bCs/>
          <w:color w:val="000000"/>
          <w:sz w:val="22"/>
          <w:lang w:eastAsia="en-GB"/>
        </w:rPr>
        <w:t xml:space="preserve">The extra 0.5% allocation means less is available to be allocated via the NFF pure formula which is in place to make funding fairer. </w:t>
      </w:r>
    </w:p>
    <w:p w:rsidRPr="006D17CF" w:rsidR="006D17CF" w:rsidP="00E10E5A" w:rsidRDefault="006D17CF">
      <w:pPr>
        <w:pStyle w:val="ListParagraph"/>
        <w:numPr>
          <w:ilvl w:val="0"/>
          <w:numId w:val="21"/>
        </w:numPr>
        <w:ind w:hanging="720"/>
        <w:rPr>
          <w:rFonts w:ascii="Arial" w:hAnsi="Arial" w:eastAsia="Times New Roman" w:cs="Arial"/>
          <w:bCs/>
          <w:color w:val="000000"/>
          <w:sz w:val="22"/>
          <w:lang w:eastAsia="en-GB"/>
        </w:rPr>
      </w:pPr>
      <w:r>
        <w:rPr>
          <w:rFonts w:ascii="Arial" w:hAnsi="Arial" w:eastAsia="Times New Roman" w:cs="Arial"/>
          <w:bCs/>
          <w:color w:val="000000"/>
          <w:sz w:val="22"/>
          <w:lang w:eastAsia="en-GB"/>
        </w:rPr>
        <w:t xml:space="preserve">The view that </w:t>
      </w:r>
      <w:r w:rsidRPr="006D17CF">
        <w:rPr>
          <w:rFonts w:ascii="Arial" w:hAnsi="Arial" w:eastAsia="Times New Roman" w:cs="Arial"/>
          <w:bCs/>
          <w:color w:val="000000"/>
          <w:sz w:val="22"/>
          <w:lang w:eastAsia="en-GB"/>
        </w:rPr>
        <w:t>it would not be desirable for the LA to top slice funding allocated to schools in order to fund high needs services. NFF should be passed to schools in as full a way as possible.</w:t>
      </w:r>
    </w:p>
    <w:p w:rsidR="006D17CF" w:rsidP="006D17CF" w:rsidRDefault="006D17CF">
      <w:pPr>
        <w:ind w:left="360"/>
        <w:rPr>
          <w:rFonts w:ascii="Arial" w:hAnsi="Arial" w:eastAsia="Times New Roman" w:cs="Arial"/>
          <w:bCs/>
          <w:color w:val="000000"/>
          <w:sz w:val="22"/>
          <w:lang w:eastAsia="en-GB"/>
        </w:rPr>
      </w:pPr>
    </w:p>
    <w:p w:rsidR="006D17CF" w:rsidP="00807774" w:rsidRDefault="00275755">
      <w:pPr>
        <w:rPr>
          <w:rFonts w:ascii="Arial" w:hAnsi="Arial" w:eastAsia="Times New Roman" w:cs="Arial"/>
          <w:bCs/>
          <w:color w:val="000000"/>
          <w:sz w:val="22"/>
          <w:lang w:eastAsia="en-GB"/>
        </w:rPr>
      </w:pPr>
      <w:r w:rsidRPr="00807774">
        <w:rPr>
          <w:rFonts w:ascii="Arial" w:hAnsi="Arial" w:eastAsia="Times New Roman" w:cs="Arial"/>
          <w:b/>
          <w:bCs/>
          <w:color w:val="000000"/>
          <w:sz w:val="22"/>
          <w:lang w:eastAsia="en-GB"/>
        </w:rPr>
        <w:t xml:space="preserve">Q6. </w:t>
      </w:r>
      <w:r w:rsidRPr="00807774">
        <w:rPr>
          <w:rFonts w:ascii="Arial" w:hAnsi="Arial" w:eastAsia="Times New Roman" w:cs="Arial"/>
          <w:bCs/>
          <w:color w:val="000000"/>
          <w:sz w:val="22"/>
          <w:lang w:eastAsia="en-GB"/>
        </w:rPr>
        <w:t>Please let us have your views on the creation of a growth fund to support academies that experience an in-year increase in pupil numbers as a result of the LA directing an academy to admit additional children</w:t>
      </w:r>
    </w:p>
    <w:p w:rsidRPr="00807774" w:rsidR="00807774" w:rsidP="00807774" w:rsidRDefault="00807774">
      <w:pPr>
        <w:rPr>
          <w:rFonts w:ascii="Arial" w:hAnsi="Arial" w:eastAsia="Times New Roman" w:cs="Arial"/>
          <w:bCs/>
          <w:color w:val="000000"/>
          <w:sz w:val="22"/>
          <w:lang w:eastAsia="en-GB"/>
        </w:rPr>
      </w:pPr>
    </w:p>
    <w:p w:rsidRPr="00807774" w:rsidR="00807774" w:rsidP="00E10E5A" w:rsidRDefault="00807774">
      <w:pPr>
        <w:pStyle w:val="ListParagraph"/>
        <w:numPr>
          <w:ilvl w:val="0"/>
          <w:numId w:val="20"/>
        </w:numPr>
        <w:ind w:hanging="720"/>
        <w:rPr>
          <w:rFonts w:ascii="Arial" w:hAnsi="Arial" w:eastAsia="Times New Roman" w:cs="Arial"/>
          <w:bCs/>
          <w:color w:val="000000"/>
          <w:sz w:val="22"/>
          <w:lang w:eastAsia="en-GB"/>
        </w:rPr>
      </w:pPr>
      <w:r w:rsidRPr="00807774">
        <w:rPr>
          <w:rFonts w:ascii="Arial" w:hAnsi="Arial" w:eastAsia="Times New Roman" w:cs="Arial"/>
          <w:bCs/>
          <w:color w:val="000000"/>
          <w:sz w:val="22"/>
          <w:lang w:eastAsia="en-GB"/>
        </w:rPr>
        <w:t>This is a reasonable proposal as long as the quantum that is proposed to be allocated is not excessive.</w:t>
      </w:r>
    </w:p>
    <w:p w:rsidRPr="00807774" w:rsidR="00807774" w:rsidP="00E10E5A" w:rsidRDefault="00807774">
      <w:pPr>
        <w:pStyle w:val="ListParagraph"/>
        <w:numPr>
          <w:ilvl w:val="0"/>
          <w:numId w:val="20"/>
        </w:numPr>
        <w:ind w:hanging="720"/>
        <w:rPr>
          <w:rFonts w:ascii="Arial" w:hAnsi="Arial" w:eastAsia="Times New Roman" w:cs="Arial"/>
          <w:bCs/>
          <w:color w:val="000000"/>
          <w:sz w:val="22"/>
          <w:lang w:eastAsia="en-GB"/>
        </w:rPr>
      </w:pPr>
      <w:r w:rsidRPr="00807774">
        <w:rPr>
          <w:rFonts w:ascii="Arial" w:hAnsi="Arial" w:eastAsia="Times New Roman" w:cs="Arial"/>
          <w:bCs/>
          <w:color w:val="000000"/>
          <w:sz w:val="22"/>
          <w:lang w:eastAsia="en-GB"/>
        </w:rPr>
        <w:t>The same system should be across all schools be they academy or not. If an LA maintained school is expected to meet additional in year costs then so too should an academy.</w:t>
      </w:r>
    </w:p>
    <w:p w:rsidRPr="00807774" w:rsidR="00807774" w:rsidP="00E10E5A" w:rsidRDefault="00807774">
      <w:pPr>
        <w:pStyle w:val="ListParagraph"/>
        <w:numPr>
          <w:ilvl w:val="0"/>
          <w:numId w:val="20"/>
        </w:numPr>
        <w:ind w:hanging="720"/>
        <w:rPr>
          <w:rFonts w:ascii="Calibri" w:hAnsi="Calibri" w:eastAsia="Times New Roman" w:cs="Calibri"/>
          <w:color w:val="000000"/>
          <w:sz w:val="22"/>
          <w:lang w:eastAsia="en-GB"/>
        </w:rPr>
      </w:pPr>
      <w:r w:rsidRPr="00807774">
        <w:rPr>
          <w:rFonts w:ascii="Arial" w:hAnsi="Arial" w:eastAsia="Times New Roman" w:cs="Arial"/>
          <w:bCs/>
          <w:color w:val="000000"/>
          <w:sz w:val="22"/>
          <w:lang w:eastAsia="en-GB"/>
        </w:rPr>
        <w:t>New academies will certainly need some support and the growth fund would be an appropriate support mechanism.</w:t>
      </w:r>
    </w:p>
    <w:p w:rsidRPr="00807774" w:rsidR="00807774" w:rsidP="00E10E5A" w:rsidRDefault="00807774">
      <w:pPr>
        <w:pStyle w:val="ListParagraph"/>
        <w:numPr>
          <w:ilvl w:val="0"/>
          <w:numId w:val="20"/>
        </w:numPr>
        <w:ind w:hanging="720"/>
        <w:rPr>
          <w:rFonts w:ascii="Calibri" w:hAnsi="Calibri" w:eastAsia="Times New Roman" w:cs="Calibri"/>
          <w:color w:val="000000"/>
          <w:sz w:val="22"/>
          <w:lang w:eastAsia="en-GB"/>
        </w:rPr>
      </w:pPr>
      <w:r w:rsidRPr="00807774">
        <w:rPr>
          <w:rFonts w:ascii="Arial" w:hAnsi="Arial" w:eastAsia="Times New Roman" w:cs="Arial"/>
          <w:bCs/>
          <w:color w:val="000000"/>
          <w:sz w:val="22"/>
          <w:lang w:eastAsia="en-GB"/>
        </w:rPr>
        <w:t>Additional funding to academies or in fact for LA maintained schools should be judged on a case-by-case basis. Schools should be required to demonstrate the need for further funding and as is the case now. The growth fund should be available to all schools or alternatively, all schools should be required to absorb additional costs for in-year pupil number changes.</w:t>
      </w:r>
    </w:p>
    <w:p w:rsidRPr="00A230D3" w:rsidR="00A230D3" w:rsidP="00E10E5A" w:rsidRDefault="00807774">
      <w:pPr>
        <w:pStyle w:val="ListParagraph"/>
        <w:numPr>
          <w:ilvl w:val="0"/>
          <w:numId w:val="20"/>
        </w:numPr>
        <w:ind w:hanging="720"/>
        <w:rPr>
          <w:rFonts w:ascii="Calibri" w:hAnsi="Calibri" w:eastAsia="Times New Roman" w:cs="Calibri"/>
          <w:color w:val="000000"/>
          <w:sz w:val="22"/>
          <w:lang w:eastAsia="en-GB"/>
        </w:rPr>
      </w:pPr>
      <w:r w:rsidRPr="00807774">
        <w:rPr>
          <w:rFonts w:ascii="Arial" w:hAnsi="Arial" w:eastAsia="Times New Roman" w:cs="Arial"/>
          <w:bCs/>
          <w:color w:val="000000"/>
          <w:sz w:val="22"/>
          <w:lang w:eastAsia="en-GB"/>
        </w:rPr>
        <w:t>It should be possible to cope with the additional numbers in the short term with the knowledge that additional funding will be in place the following year.</w:t>
      </w:r>
    </w:p>
    <w:p w:rsidRPr="00A230D3" w:rsidR="00A230D3" w:rsidP="00E10E5A" w:rsidRDefault="00A230D3">
      <w:pPr>
        <w:pStyle w:val="ListParagraph"/>
        <w:numPr>
          <w:ilvl w:val="0"/>
          <w:numId w:val="20"/>
        </w:numPr>
        <w:ind w:hanging="720"/>
        <w:rPr>
          <w:rFonts w:ascii="Arial" w:hAnsi="Arial" w:eastAsia="Times New Roman" w:cs="Arial"/>
          <w:bCs/>
          <w:color w:val="000000"/>
          <w:sz w:val="22"/>
          <w:lang w:eastAsia="en-GB"/>
        </w:rPr>
      </w:pPr>
      <w:r w:rsidRPr="00A230D3">
        <w:rPr>
          <w:rFonts w:ascii="Arial" w:hAnsi="Arial" w:eastAsia="Times New Roman" w:cs="Arial"/>
          <w:bCs/>
          <w:color w:val="000000"/>
          <w:sz w:val="22"/>
          <w:lang w:eastAsia="en-GB"/>
        </w:rPr>
        <w:lastRenderedPageBreak/>
        <w:t>In year changes which exceed a low threshold are always difficult to manage. Any growth fund should target situations where growth is such that the cost of any adjustments cannot realistically be borne to the end of the financial year / census. If the 1% threshold is consistent with other regulations, that would appear appropriate. DfE should build capacity into the NFF to support growth, any approach which reduces other allocations is penalising children in other settings.</w:t>
      </w:r>
    </w:p>
    <w:p w:rsidRPr="00E10E5A" w:rsidR="00E10E5A" w:rsidP="00E10E5A" w:rsidRDefault="00A230D3">
      <w:pPr>
        <w:pStyle w:val="ListParagraph"/>
        <w:numPr>
          <w:ilvl w:val="0"/>
          <w:numId w:val="20"/>
        </w:numPr>
        <w:ind w:hanging="720"/>
        <w:rPr>
          <w:rFonts w:ascii="Calibri" w:hAnsi="Calibri" w:eastAsia="Times New Roman" w:cs="Calibri"/>
          <w:color w:val="000000"/>
          <w:sz w:val="22"/>
          <w:lang w:eastAsia="en-GB"/>
        </w:rPr>
      </w:pPr>
      <w:r w:rsidRPr="00E10E5A">
        <w:rPr>
          <w:rFonts w:ascii="Arial" w:hAnsi="Arial" w:eastAsia="Times New Roman" w:cs="Arial"/>
          <w:bCs/>
          <w:color w:val="000000"/>
          <w:sz w:val="22"/>
          <w:lang w:eastAsia="en-GB"/>
        </w:rPr>
        <w:t xml:space="preserve">We </w:t>
      </w:r>
      <w:r w:rsidRPr="00A230D3">
        <w:rPr>
          <w:rFonts w:ascii="Arial" w:hAnsi="Arial" w:eastAsia="Times New Roman" w:cs="Arial"/>
          <w:bCs/>
          <w:color w:val="000000"/>
          <w:sz w:val="22"/>
          <w:lang w:eastAsia="en-GB"/>
        </w:rPr>
        <w:t>agree with the existing arrangements.</w:t>
      </w:r>
    </w:p>
    <w:p w:rsidRPr="00E10E5A" w:rsidR="00E10E5A" w:rsidP="00E10E5A" w:rsidRDefault="00E10E5A">
      <w:pPr>
        <w:pStyle w:val="ListParagraph"/>
        <w:numPr>
          <w:ilvl w:val="0"/>
          <w:numId w:val="20"/>
        </w:numPr>
        <w:ind w:hanging="720"/>
        <w:rPr>
          <w:rFonts w:ascii="Arial" w:hAnsi="Arial" w:eastAsia="Times New Roman" w:cs="Arial"/>
          <w:bCs/>
          <w:color w:val="000000"/>
          <w:sz w:val="22"/>
          <w:lang w:eastAsia="en-GB"/>
        </w:rPr>
      </w:pPr>
      <w:r>
        <w:rPr>
          <w:rFonts w:ascii="Arial" w:hAnsi="Arial" w:eastAsia="Times New Roman" w:cs="Arial"/>
          <w:bCs/>
          <w:color w:val="000000"/>
          <w:sz w:val="22"/>
          <w:lang w:eastAsia="en-GB"/>
        </w:rPr>
        <w:t xml:space="preserve">I </w:t>
      </w:r>
      <w:r w:rsidRPr="00E10E5A">
        <w:rPr>
          <w:rFonts w:ascii="Arial" w:hAnsi="Arial" w:eastAsia="Times New Roman" w:cs="Arial"/>
          <w:bCs/>
          <w:color w:val="000000"/>
          <w:sz w:val="22"/>
          <w:lang w:eastAsia="en-GB"/>
        </w:rPr>
        <w:t>believe that there is a process that allows LA schools to access a growth fund to support them if pupil numbers increase by a certain percentage during the year.</w:t>
      </w:r>
      <w:r>
        <w:rPr>
          <w:rFonts w:ascii="Arial" w:hAnsi="Arial" w:eastAsia="Times New Roman" w:cs="Arial"/>
          <w:bCs/>
          <w:color w:val="000000"/>
          <w:sz w:val="22"/>
          <w:lang w:eastAsia="en-GB"/>
        </w:rPr>
        <w:t xml:space="preserve"> </w:t>
      </w:r>
      <w:r w:rsidRPr="00E10E5A">
        <w:rPr>
          <w:rFonts w:ascii="Arial" w:hAnsi="Arial" w:eastAsia="Times New Roman" w:cs="Arial"/>
          <w:bCs/>
          <w:color w:val="000000"/>
          <w:sz w:val="22"/>
          <w:lang w:eastAsia="en-GB"/>
        </w:rPr>
        <w:t xml:space="preserve">I would hope that the MAT that the academy is a member of would be able to replicate this, I do not think that LA should. </w:t>
      </w:r>
    </w:p>
    <w:p w:rsidRPr="00E10E5A" w:rsidR="00E10E5A" w:rsidP="00E10E5A" w:rsidRDefault="00E10E5A">
      <w:pPr>
        <w:ind w:left="360"/>
        <w:rPr>
          <w:rFonts w:ascii="Arial" w:hAnsi="Arial" w:eastAsia="Times New Roman" w:cs="Arial"/>
          <w:bCs/>
          <w:color w:val="000000"/>
          <w:sz w:val="22"/>
          <w:lang w:eastAsia="en-GB"/>
        </w:rPr>
      </w:pPr>
    </w:p>
    <w:p w:rsidR="00E10E5A" w:rsidP="00E10E5A" w:rsidRDefault="00E10E5A">
      <w:pPr>
        <w:rPr>
          <w:rFonts w:ascii="Arial" w:hAnsi="Arial" w:cs="Arial"/>
          <w:szCs w:val="24"/>
        </w:rPr>
      </w:pPr>
      <w:r w:rsidRPr="00807774">
        <w:rPr>
          <w:rFonts w:ascii="Arial" w:hAnsi="Arial" w:eastAsia="Times New Roman" w:cs="Arial"/>
          <w:b/>
          <w:bCs/>
          <w:color w:val="000000"/>
          <w:sz w:val="22"/>
          <w:lang w:eastAsia="en-GB"/>
        </w:rPr>
        <w:t>Q</w:t>
      </w:r>
      <w:r>
        <w:rPr>
          <w:rFonts w:ascii="Arial" w:hAnsi="Arial" w:eastAsia="Times New Roman" w:cs="Arial"/>
          <w:b/>
          <w:bCs/>
          <w:color w:val="000000"/>
          <w:sz w:val="22"/>
          <w:lang w:eastAsia="en-GB"/>
        </w:rPr>
        <w:t>7</w:t>
      </w:r>
      <w:r w:rsidRPr="00807774">
        <w:rPr>
          <w:rFonts w:ascii="Arial" w:hAnsi="Arial" w:eastAsia="Times New Roman" w:cs="Arial"/>
          <w:b/>
          <w:bCs/>
          <w:color w:val="000000"/>
          <w:sz w:val="22"/>
          <w:lang w:eastAsia="en-GB"/>
        </w:rPr>
        <w:t xml:space="preserve">. </w:t>
      </w:r>
      <w:r w:rsidRPr="00FE142C">
        <w:rPr>
          <w:rFonts w:ascii="Arial" w:hAnsi="Arial" w:cs="Arial"/>
          <w:szCs w:val="24"/>
        </w:rPr>
        <w:t>Please let us have your views on the creation of a growth fund to support post opening costs of new free schools</w:t>
      </w:r>
    </w:p>
    <w:p w:rsidR="00E10E5A" w:rsidP="00E10E5A" w:rsidRDefault="00E10E5A">
      <w:pPr>
        <w:rPr>
          <w:rFonts w:ascii="Arial" w:hAnsi="Arial" w:cs="Arial"/>
          <w:szCs w:val="24"/>
        </w:rPr>
      </w:pPr>
    </w:p>
    <w:p w:rsidRPr="00E10E5A" w:rsidR="00E10E5A" w:rsidP="00E10E5A" w:rsidRDefault="00E10E5A">
      <w:pPr>
        <w:pStyle w:val="ListParagraph"/>
        <w:numPr>
          <w:ilvl w:val="0"/>
          <w:numId w:val="19"/>
        </w:numPr>
        <w:ind w:hanging="720"/>
        <w:rPr>
          <w:rFonts w:ascii="Arial" w:hAnsi="Arial" w:eastAsia="Times New Roman" w:cs="Arial"/>
          <w:bCs/>
          <w:color w:val="000000"/>
          <w:sz w:val="22"/>
          <w:lang w:eastAsia="en-GB"/>
        </w:rPr>
      </w:pPr>
      <w:r w:rsidRPr="00E10E5A">
        <w:rPr>
          <w:rFonts w:ascii="Arial" w:hAnsi="Arial" w:eastAsia="Times New Roman" w:cs="Arial"/>
          <w:bCs/>
          <w:color w:val="000000"/>
          <w:sz w:val="22"/>
          <w:lang w:eastAsia="en-GB"/>
        </w:rPr>
        <w:t>We would not support the creation of a growth fund for free schools if this were to cause a decrease in our potential budget</w:t>
      </w:r>
    </w:p>
    <w:p w:rsidRPr="00E10E5A" w:rsidR="00E10E5A" w:rsidP="00E10E5A" w:rsidRDefault="00E10E5A">
      <w:pPr>
        <w:pStyle w:val="ListParagraph"/>
        <w:numPr>
          <w:ilvl w:val="0"/>
          <w:numId w:val="19"/>
        </w:numPr>
        <w:ind w:hanging="720"/>
        <w:rPr>
          <w:rFonts w:ascii="Arial" w:hAnsi="Arial" w:eastAsia="Times New Roman" w:cs="Arial"/>
          <w:bCs/>
          <w:color w:val="000000"/>
          <w:sz w:val="22"/>
          <w:lang w:eastAsia="en-GB"/>
        </w:rPr>
      </w:pPr>
      <w:r w:rsidRPr="00E10E5A">
        <w:rPr>
          <w:rFonts w:ascii="Arial" w:hAnsi="Arial" w:eastAsia="Times New Roman" w:cs="Arial"/>
          <w:bCs/>
          <w:color w:val="000000"/>
          <w:sz w:val="22"/>
          <w:lang w:eastAsia="en-GB"/>
        </w:rPr>
        <w:t>Limited increase only</w:t>
      </w:r>
    </w:p>
    <w:p w:rsidRPr="00E10E5A" w:rsidR="00E10E5A" w:rsidP="00750EDF" w:rsidRDefault="00E10E5A">
      <w:pPr>
        <w:pStyle w:val="ListParagraph"/>
        <w:numPr>
          <w:ilvl w:val="0"/>
          <w:numId w:val="19"/>
        </w:numPr>
        <w:ind w:hanging="720"/>
        <w:rPr>
          <w:rFonts w:ascii="Arial" w:hAnsi="Arial" w:eastAsia="Times New Roman" w:cs="Arial"/>
          <w:bCs/>
          <w:color w:val="000000"/>
          <w:sz w:val="22"/>
          <w:lang w:eastAsia="en-GB"/>
        </w:rPr>
      </w:pPr>
      <w:r w:rsidRPr="00E10E5A">
        <w:rPr>
          <w:rFonts w:ascii="Arial" w:hAnsi="Arial" w:eastAsia="Times New Roman" w:cs="Arial"/>
          <w:bCs/>
          <w:color w:val="000000"/>
          <w:sz w:val="22"/>
          <w:lang w:eastAsia="en-GB"/>
        </w:rPr>
        <w:t>How long can pre-opening support be provided from DSG reserves, do these run out?  If funds have to be found and this is the only way to find them then theoretically in agreement - is there an alternative to reducing multipliers in Appendix 1?</w:t>
      </w:r>
    </w:p>
    <w:p w:rsidRPr="00E10E5A" w:rsidR="00E10E5A" w:rsidP="005E4AA3" w:rsidRDefault="00E10E5A">
      <w:pPr>
        <w:pStyle w:val="ListParagraph"/>
        <w:numPr>
          <w:ilvl w:val="0"/>
          <w:numId w:val="19"/>
        </w:numPr>
        <w:ind w:hanging="720"/>
        <w:rPr>
          <w:rFonts w:ascii="Arial" w:hAnsi="Arial" w:eastAsia="Times New Roman" w:cs="Arial"/>
          <w:bCs/>
          <w:color w:val="000000"/>
          <w:sz w:val="22"/>
          <w:lang w:eastAsia="en-GB"/>
        </w:rPr>
      </w:pPr>
      <w:r w:rsidRPr="00E10E5A">
        <w:rPr>
          <w:rFonts w:ascii="Arial" w:hAnsi="Arial" w:eastAsia="Times New Roman" w:cs="Arial"/>
          <w:bCs/>
          <w:color w:val="000000"/>
          <w:sz w:val="22"/>
          <w:lang w:eastAsia="en-GB"/>
        </w:rPr>
        <w:t xml:space="preserve">If Derbyshire are aware that 5 new free schools may be required to meet expected increases in pupil numbers it would be prudent to expand existing LA maintained schools in areas of need to avoid the disproportionate costs of creating free-schools. The LA should be able to gain better value from the Schools Block by doing this. </w:t>
      </w:r>
    </w:p>
    <w:p w:rsidRPr="00D514B4" w:rsidR="00D514B4" w:rsidP="00396466" w:rsidRDefault="00E10E5A">
      <w:pPr>
        <w:pStyle w:val="ListParagraph"/>
        <w:numPr>
          <w:ilvl w:val="0"/>
          <w:numId w:val="19"/>
        </w:numPr>
        <w:ind w:hanging="720"/>
        <w:rPr>
          <w:rFonts w:ascii="Arial" w:hAnsi="Arial" w:eastAsia="Times New Roman" w:cs="Arial"/>
          <w:bCs/>
          <w:color w:val="000000"/>
          <w:sz w:val="22"/>
          <w:lang w:eastAsia="en-GB"/>
        </w:rPr>
      </w:pPr>
      <w:r w:rsidRPr="00E10E5A">
        <w:rPr>
          <w:rFonts w:ascii="Arial" w:hAnsi="Arial" w:eastAsia="Times New Roman" w:cs="Arial"/>
          <w:bCs/>
          <w:color w:val="000000"/>
          <w:sz w:val="22"/>
          <w:lang w:eastAsia="en-GB"/>
        </w:rPr>
        <w:t>Post opening costs which exceed a low threshold are always going to be difficult to manage. Any fund should target situations where additional expenditure is such that the cost of any adjustments cannot realistically be borne to the end of the financial year / census / change in pupil numbers. If the threshold for accessing the fund is consistent with other regulations, that would appear appropriate.</w:t>
      </w:r>
      <w:r w:rsidRPr="00D514B4" w:rsidR="00D514B4">
        <w:rPr>
          <w:rFonts w:ascii="Arial" w:hAnsi="Arial" w:eastAsia="Times New Roman" w:cs="Arial"/>
          <w:bCs/>
          <w:color w:val="000000"/>
          <w:sz w:val="22"/>
          <w:lang w:eastAsia="en-GB"/>
        </w:rPr>
        <w:t xml:space="preserve"> </w:t>
      </w:r>
      <w:r w:rsidRPr="00E10E5A">
        <w:rPr>
          <w:rFonts w:ascii="Arial" w:hAnsi="Arial" w:eastAsia="Times New Roman" w:cs="Arial"/>
          <w:bCs/>
          <w:color w:val="000000"/>
          <w:sz w:val="22"/>
          <w:lang w:eastAsia="en-GB"/>
        </w:rPr>
        <w:t>DfE should [but won’t] fund this as an additional expenditure item for new schools.</w:t>
      </w:r>
      <w:r w:rsidRPr="00D514B4" w:rsidR="00D514B4">
        <w:rPr>
          <w:rFonts w:ascii="Arial" w:hAnsi="Arial" w:eastAsia="Times New Roman" w:cs="Arial"/>
          <w:bCs/>
          <w:color w:val="000000"/>
          <w:sz w:val="22"/>
          <w:lang w:eastAsia="en-GB"/>
        </w:rPr>
        <w:t xml:space="preserve"> </w:t>
      </w:r>
    </w:p>
    <w:p w:rsidRPr="00D514B4" w:rsidR="00D514B4" w:rsidP="00645680" w:rsidRDefault="00D514B4">
      <w:pPr>
        <w:pStyle w:val="ListParagraph"/>
        <w:numPr>
          <w:ilvl w:val="0"/>
          <w:numId w:val="19"/>
        </w:numPr>
        <w:ind w:hanging="720"/>
        <w:rPr>
          <w:rFonts w:ascii="Arial" w:hAnsi="Arial" w:eastAsia="Times New Roman" w:cs="Arial"/>
          <w:bCs/>
          <w:color w:val="000000"/>
          <w:sz w:val="22"/>
          <w:lang w:eastAsia="en-GB"/>
        </w:rPr>
      </w:pPr>
      <w:r w:rsidRPr="00D514B4">
        <w:rPr>
          <w:rFonts w:ascii="Arial" w:hAnsi="Arial" w:eastAsia="Times New Roman" w:cs="Arial"/>
          <w:bCs/>
          <w:color w:val="000000"/>
          <w:sz w:val="22"/>
          <w:lang w:eastAsia="en-GB"/>
        </w:rPr>
        <w:t xml:space="preserve">We would not support the creation of a growth fund to support this, again when there is a surplus of places in maintained schools.  We have a further concern over the performance/effectiveness of free schools in general and would not wish to see a reduction in the multipliers which could adversely affect our budget. </w:t>
      </w:r>
    </w:p>
    <w:p w:rsidRPr="00D514B4" w:rsidR="00D514B4" w:rsidP="00645680" w:rsidRDefault="00D514B4">
      <w:pPr>
        <w:pStyle w:val="ListParagraph"/>
        <w:numPr>
          <w:ilvl w:val="0"/>
          <w:numId w:val="19"/>
        </w:numPr>
        <w:ind w:hanging="720"/>
        <w:rPr>
          <w:rFonts w:ascii="Arial" w:hAnsi="Arial" w:eastAsia="Times New Roman" w:cs="Arial"/>
          <w:bCs/>
          <w:color w:val="000000"/>
          <w:sz w:val="22"/>
          <w:lang w:eastAsia="en-GB"/>
        </w:rPr>
      </w:pPr>
      <w:r w:rsidRPr="00D514B4">
        <w:rPr>
          <w:rFonts w:ascii="Arial" w:hAnsi="Arial" w:eastAsia="Times New Roman" w:cs="Arial"/>
          <w:bCs/>
          <w:color w:val="000000"/>
          <w:sz w:val="22"/>
          <w:lang w:eastAsia="en-GB"/>
        </w:rPr>
        <w:t>This would put too much pressure on school/Academy budgets, impacting on students currently</w:t>
      </w:r>
      <w:r w:rsidRPr="00D514B4">
        <w:rPr>
          <w:rFonts w:ascii="Arial" w:hAnsi="Arial" w:eastAsia="Times New Roman" w:cs="Arial"/>
          <w:bCs/>
          <w:color w:val="000000"/>
          <w:sz w:val="22"/>
          <w:lang w:eastAsia="en-GB"/>
        </w:rPr>
        <w:br/>
        <w:t>studying in Derbyshire schools/Academies.</w:t>
      </w:r>
    </w:p>
    <w:p w:rsidRPr="00D514B4" w:rsidR="00E10E5A" w:rsidP="00D514B4" w:rsidRDefault="00E10E5A">
      <w:pPr>
        <w:rPr>
          <w:rFonts w:ascii="Calibri" w:hAnsi="Calibri" w:eastAsia="Times New Roman" w:cs="Calibri"/>
          <w:color w:val="000000"/>
          <w:sz w:val="22"/>
          <w:lang w:eastAsia="en-GB"/>
        </w:rPr>
      </w:pPr>
    </w:p>
    <w:p w:rsidRPr="00D514B4" w:rsidR="00E10E5A" w:rsidP="00D514B4" w:rsidRDefault="00D514B4">
      <w:pPr>
        <w:rPr>
          <w:rFonts w:ascii="Arial" w:hAnsi="Arial" w:eastAsia="Times New Roman" w:cs="Arial"/>
          <w:bCs/>
          <w:color w:val="000000"/>
          <w:sz w:val="22"/>
          <w:lang w:eastAsia="en-GB"/>
        </w:rPr>
      </w:pPr>
      <w:r w:rsidRPr="00D514B4">
        <w:rPr>
          <w:rFonts w:ascii="Arial" w:hAnsi="Arial" w:eastAsia="Times New Roman" w:cs="Arial"/>
          <w:b/>
          <w:bCs/>
          <w:color w:val="000000"/>
          <w:sz w:val="22"/>
          <w:lang w:eastAsia="en-GB"/>
        </w:rPr>
        <w:t>Q8.</w:t>
      </w:r>
      <w:r w:rsidRPr="00D514B4">
        <w:rPr>
          <w:rFonts w:ascii="Arial" w:hAnsi="Arial" w:eastAsia="Times New Roman" w:cs="Arial"/>
          <w:bCs/>
          <w:color w:val="000000"/>
          <w:sz w:val="22"/>
          <w:lang w:eastAsia="en-GB"/>
        </w:rPr>
        <w:t xml:space="preserve"> Please let us have your views on the desirability or otherwise of a falling rolls fund to provide temporary support to good or outstanding schools</w:t>
      </w:r>
    </w:p>
    <w:p w:rsidR="00E10E5A" w:rsidP="00E10E5A" w:rsidRDefault="00E10E5A">
      <w:pPr>
        <w:rPr>
          <w:rFonts w:ascii="Arial" w:hAnsi="Arial" w:eastAsia="Times New Roman" w:cs="Arial"/>
          <w:bCs/>
          <w:color w:val="000000"/>
          <w:sz w:val="22"/>
          <w:lang w:eastAsia="en-GB"/>
        </w:rPr>
      </w:pPr>
    </w:p>
    <w:p w:rsidRPr="00D514B4" w:rsidR="00D514B4" w:rsidP="00D514B4" w:rsidRDefault="00D514B4">
      <w:pPr>
        <w:pStyle w:val="ListParagraph"/>
        <w:numPr>
          <w:ilvl w:val="0"/>
          <w:numId w:val="23"/>
        </w:numPr>
        <w:ind w:hanging="720"/>
        <w:rPr>
          <w:rFonts w:ascii="Arial" w:hAnsi="Arial" w:eastAsia="Times New Roman" w:cs="Arial"/>
          <w:bCs/>
          <w:color w:val="000000"/>
          <w:sz w:val="22"/>
          <w:lang w:eastAsia="en-GB"/>
        </w:rPr>
      </w:pPr>
      <w:r w:rsidRPr="00D514B4">
        <w:rPr>
          <w:rFonts w:ascii="Arial" w:hAnsi="Arial" w:eastAsia="Times New Roman" w:cs="Arial"/>
          <w:bCs/>
          <w:color w:val="000000"/>
          <w:sz w:val="22"/>
          <w:lang w:eastAsia="en-GB"/>
        </w:rPr>
        <w:t>We would not be in agreement with our funding being impacted upon detrimentally to support in these circumstances.</w:t>
      </w:r>
    </w:p>
    <w:p w:rsidRPr="00D514B4" w:rsidR="00D514B4" w:rsidP="00D514B4" w:rsidRDefault="00D514B4">
      <w:pPr>
        <w:pStyle w:val="ListParagraph"/>
        <w:numPr>
          <w:ilvl w:val="0"/>
          <w:numId w:val="23"/>
        </w:numPr>
        <w:ind w:hanging="720"/>
        <w:rPr>
          <w:rFonts w:ascii="Arial" w:hAnsi="Arial" w:eastAsia="Times New Roman" w:cs="Arial"/>
          <w:bCs/>
          <w:color w:val="000000"/>
          <w:sz w:val="22"/>
          <w:lang w:eastAsia="en-GB"/>
        </w:rPr>
      </w:pPr>
      <w:r w:rsidRPr="00D514B4">
        <w:rPr>
          <w:rFonts w:ascii="Arial" w:hAnsi="Arial" w:eastAsia="Times New Roman" w:cs="Arial"/>
          <w:bCs/>
          <w:color w:val="000000"/>
          <w:sz w:val="22"/>
          <w:lang w:eastAsia="en-GB"/>
        </w:rPr>
        <w:t xml:space="preserve">I agree with DCC’s current position and would not support this as defining need based on </w:t>
      </w:r>
      <w:proofErr w:type="spellStart"/>
      <w:r w:rsidRPr="00D514B4">
        <w:rPr>
          <w:rFonts w:ascii="Arial" w:hAnsi="Arial" w:eastAsia="Times New Roman" w:cs="Arial"/>
          <w:bCs/>
          <w:color w:val="000000"/>
          <w:sz w:val="22"/>
          <w:lang w:eastAsia="en-GB"/>
        </w:rPr>
        <w:t>ofsted</w:t>
      </w:r>
      <w:proofErr w:type="spellEnd"/>
      <w:r w:rsidRPr="00D514B4">
        <w:rPr>
          <w:rFonts w:ascii="Arial" w:hAnsi="Arial" w:eastAsia="Times New Roman" w:cs="Arial"/>
          <w:bCs/>
          <w:color w:val="000000"/>
          <w:sz w:val="22"/>
          <w:lang w:eastAsia="en-GB"/>
        </w:rPr>
        <w:t xml:space="preserve"> category is not necessarily aiming funding at where it is needed the most.</w:t>
      </w:r>
    </w:p>
    <w:p w:rsidR="00D514B4" w:rsidP="00D514B4" w:rsidRDefault="00D514B4">
      <w:pPr>
        <w:pStyle w:val="ListParagraph"/>
        <w:numPr>
          <w:ilvl w:val="0"/>
          <w:numId w:val="23"/>
        </w:numPr>
        <w:ind w:hanging="720"/>
        <w:rPr>
          <w:rFonts w:ascii="Arial" w:hAnsi="Arial" w:eastAsia="Times New Roman" w:cs="Arial"/>
          <w:bCs/>
          <w:color w:val="000000"/>
          <w:sz w:val="22"/>
          <w:lang w:eastAsia="en-GB"/>
        </w:rPr>
      </w:pPr>
      <w:r w:rsidRPr="00D514B4">
        <w:rPr>
          <w:rFonts w:ascii="Arial" w:hAnsi="Arial" w:eastAsia="Times New Roman" w:cs="Arial"/>
          <w:bCs/>
          <w:color w:val="000000"/>
          <w:sz w:val="22"/>
          <w:lang w:eastAsia="en-GB"/>
        </w:rPr>
        <w:t>If the school can see that the situation is a short term one then it would make sense to support the school through a difficult patch</w:t>
      </w:r>
    </w:p>
    <w:p w:rsidR="00D514B4" w:rsidP="00D514B4" w:rsidRDefault="00D514B4">
      <w:pPr>
        <w:pStyle w:val="ListParagraph"/>
        <w:numPr>
          <w:ilvl w:val="0"/>
          <w:numId w:val="23"/>
        </w:numPr>
        <w:ind w:hanging="720"/>
        <w:rPr>
          <w:rFonts w:ascii="Arial" w:hAnsi="Arial" w:eastAsia="Times New Roman" w:cs="Arial"/>
          <w:bCs/>
          <w:color w:val="000000"/>
          <w:sz w:val="22"/>
          <w:lang w:eastAsia="en-GB"/>
        </w:rPr>
      </w:pPr>
      <w:r w:rsidRPr="00D514B4">
        <w:rPr>
          <w:rFonts w:ascii="Arial" w:hAnsi="Arial" w:eastAsia="Times New Roman" w:cs="Arial"/>
          <w:bCs/>
          <w:color w:val="000000"/>
          <w:sz w:val="22"/>
          <w:lang w:eastAsia="en-GB"/>
        </w:rPr>
        <w:t>All schools need support- those in RI would require the same level of support as good or outstanding schools, if not more.</w:t>
      </w:r>
    </w:p>
    <w:p w:rsidRPr="0027773E" w:rsidR="0027773E" w:rsidP="009F2746" w:rsidRDefault="00D514B4">
      <w:pPr>
        <w:pStyle w:val="ListParagraph"/>
        <w:numPr>
          <w:ilvl w:val="0"/>
          <w:numId w:val="23"/>
        </w:numPr>
        <w:ind w:hanging="720"/>
        <w:rPr>
          <w:rFonts w:ascii="Calibri" w:hAnsi="Calibri" w:cs="Calibri"/>
          <w:color w:val="000000"/>
          <w:sz w:val="22"/>
        </w:rPr>
      </w:pPr>
      <w:r w:rsidRPr="0027773E">
        <w:rPr>
          <w:rFonts w:ascii="Arial" w:hAnsi="Arial" w:eastAsia="Times New Roman" w:cs="Arial"/>
          <w:bCs/>
          <w:color w:val="000000"/>
          <w:sz w:val="22"/>
          <w:lang w:eastAsia="en-GB"/>
        </w:rPr>
        <w:t>If a licensed deficit is available a falling rolls fund should not be necessary. There also needs to be an understanding that small schools need to carry proportionally larger reserves in order to cope with the inevitable fluctuations in pupil numbers.</w:t>
      </w:r>
      <w:r w:rsidRPr="0027773E" w:rsidR="0027773E">
        <w:rPr>
          <w:rFonts w:ascii="Arial" w:hAnsi="Arial" w:eastAsia="Times New Roman" w:cs="Arial"/>
          <w:bCs/>
          <w:color w:val="000000"/>
          <w:sz w:val="22"/>
          <w:lang w:eastAsia="en-GB"/>
        </w:rPr>
        <w:t xml:space="preserve"> </w:t>
      </w:r>
    </w:p>
    <w:p w:rsidRPr="0027773E" w:rsidR="0027773E" w:rsidP="004A3523" w:rsidRDefault="00D514B4">
      <w:pPr>
        <w:pStyle w:val="ListParagraph"/>
        <w:numPr>
          <w:ilvl w:val="0"/>
          <w:numId w:val="23"/>
        </w:numPr>
        <w:ind w:hanging="720"/>
        <w:rPr>
          <w:rFonts w:ascii="Calibri" w:hAnsi="Calibri" w:eastAsia="Times New Roman" w:cs="Calibri"/>
          <w:color w:val="000000"/>
          <w:sz w:val="22"/>
          <w:lang w:eastAsia="en-GB"/>
        </w:rPr>
      </w:pPr>
      <w:r w:rsidRPr="0027773E">
        <w:rPr>
          <w:rFonts w:ascii="Arial" w:hAnsi="Arial" w:eastAsia="Times New Roman" w:cs="Arial"/>
          <w:bCs/>
          <w:color w:val="000000"/>
          <w:sz w:val="22"/>
          <w:lang w:eastAsia="en-GB"/>
        </w:rPr>
        <w:t xml:space="preserve">If this fund were to be used to support schools such as ourselves who have met their financial challenge head on and dealt with much of it but would still benefit from some level of support then it may have some merit, however, if this fund would be used to support schools who have not yet truly engaged with reducing costs and are essentially being </w:t>
      </w:r>
      <w:r w:rsidRPr="0027773E">
        <w:rPr>
          <w:rFonts w:hint="eastAsia" w:ascii="Arial" w:hAnsi="Arial" w:eastAsia="Times New Roman" w:cs="Arial"/>
          <w:bCs/>
          <w:color w:val="000000"/>
          <w:sz w:val="22"/>
          <w:lang w:eastAsia="en-GB"/>
        </w:rPr>
        <w:t>“</w:t>
      </w:r>
      <w:r w:rsidRPr="0027773E">
        <w:rPr>
          <w:rFonts w:ascii="Arial" w:hAnsi="Arial" w:eastAsia="Times New Roman" w:cs="Arial"/>
          <w:bCs/>
          <w:color w:val="000000"/>
          <w:sz w:val="22"/>
          <w:lang w:eastAsia="en-GB"/>
        </w:rPr>
        <w:t>bailed out</w:t>
      </w:r>
      <w:r w:rsidRPr="0027773E">
        <w:rPr>
          <w:rFonts w:hint="eastAsia" w:ascii="Arial" w:hAnsi="Arial" w:eastAsia="Times New Roman" w:cs="Arial"/>
          <w:bCs/>
          <w:color w:val="000000"/>
          <w:sz w:val="22"/>
          <w:lang w:eastAsia="en-GB"/>
        </w:rPr>
        <w:t>”</w:t>
      </w:r>
      <w:r w:rsidRPr="0027773E">
        <w:rPr>
          <w:rFonts w:ascii="Arial" w:hAnsi="Arial" w:eastAsia="Times New Roman" w:cs="Arial"/>
          <w:bCs/>
          <w:color w:val="000000"/>
          <w:sz w:val="22"/>
          <w:lang w:eastAsia="en-GB"/>
        </w:rPr>
        <w:t xml:space="preserve"> then it would appear unfair.</w:t>
      </w:r>
      <w:r w:rsidRPr="0027773E" w:rsidR="0027773E">
        <w:rPr>
          <w:rFonts w:ascii="Calibri" w:hAnsi="Calibri" w:cs="Calibri"/>
          <w:color w:val="000000"/>
          <w:sz w:val="22"/>
        </w:rPr>
        <w:t xml:space="preserve">  </w:t>
      </w:r>
    </w:p>
    <w:p w:rsidR="00A230D3" w:rsidP="0027773E" w:rsidRDefault="0027773E">
      <w:pPr>
        <w:pStyle w:val="ListParagraph"/>
        <w:numPr>
          <w:ilvl w:val="0"/>
          <w:numId w:val="23"/>
        </w:numPr>
        <w:ind w:hanging="720"/>
        <w:rPr>
          <w:rFonts w:ascii="Arial" w:hAnsi="Arial" w:eastAsia="Times New Roman" w:cs="Arial"/>
          <w:bCs/>
          <w:color w:val="000000"/>
          <w:sz w:val="22"/>
          <w:lang w:eastAsia="en-GB"/>
        </w:rPr>
      </w:pPr>
      <w:r w:rsidRPr="0027773E">
        <w:rPr>
          <w:rFonts w:ascii="Arial" w:hAnsi="Arial" w:eastAsia="Times New Roman" w:cs="Arial"/>
          <w:bCs/>
          <w:color w:val="000000"/>
          <w:sz w:val="22"/>
          <w:lang w:eastAsia="en-GB"/>
        </w:rPr>
        <w:t xml:space="preserve">This could be a potential, provided there was secure evidence that the outstanding schools in particular were maintaining this status (rather than historical evidence from 8+ years ago under very difference Ofsted frameworks.) </w:t>
      </w:r>
    </w:p>
    <w:p w:rsidRPr="0027773E" w:rsidR="0027773E" w:rsidP="0027773E" w:rsidRDefault="0027773E">
      <w:pPr>
        <w:rPr>
          <w:rFonts w:ascii="Arial" w:hAnsi="Arial" w:eastAsia="Times New Roman" w:cs="Arial"/>
          <w:bCs/>
          <w:color w:val="000000"/>
          <w:sz w:val="22"/>
          <w:lang w:eastAsia="en-GB"/>
        </w:rPr>
      </w:pPr>
      <w:r w:rsidRPr="0027773E">
        <w:rPr>
          <w:rFonts w:ascii="Arial" w:hAnsi="Arial" w:eastAsia="Times New Roman" w:cs="Arial"/>
          <w:b/>
          <w:bCs/>
          <w:color w:val="000000"/>
          <w:sz w:val="22"/>
          <w:lang w:eastAsia="en-GB"/>
        </w:rPr>
        <w:lastRenderedPageBreak/>
        <w:t xml:space="preserve">Q9. </w:t>
      </w:r>
      <w:r w:rsidRPr="0027773E">
        <w:rPr>
          <w:rFonts w:ascii="Arial" w:hAnsi="Arial" w:eastAsia="Times New Roman" w:cs="Arial"/>
          <w:bCs/>
          <w:color w:val="000000"/>
          <w:sz w:val="22"/>
          <w:lang w:eastAsia="en-GB"/>
        </w:rPr>
        <w:t>Do you have any other comments to make regarding the proposals in this consultation?</w:t>
      </w:r>
    </w:p>
    <w:p w:rsidR="0027773E" w:rsidP="0027773E" w:rsidRDefault="0027773E">
      <w:pPr>
        <w:rPr>
          <w:rFonts w:ascii="Arial" w:hAnsi="Arial" w:eastAsia="Times New Roman" w:cs="Arial"/>
          <w:bCs/>
          <w:color w:val="000000"/>
          <w:sz w:val="22"/>
          <w:lang w:eastAsia="en-GB"/>
        </w:rPr>
      </w:pPr>
    </w:p>
    <w:p w:rsidRPr="0027773E" w:rsidR="0027773E" w:rsidP="00312416" w:rsidRDefault="0027773E">
      <w:pPr>
        <w:pStyle w:val="ListParagraph"/>
        <w:numPr>
          <w:ilvl w:val="0"/>
          <w:numId w:val="24"/>
        </w:numPr>
        <w:ind w:hanging="720"/>
        <w:rPr>
          <w:rFonts w:ascii="Arial" w:hAnsi="Arial" w:eastAsia="Times New Roman" w:cs="Arial"/>
          <w:bCs/>
          <w:color w:val="000000"/>
          <w:sz w:val="22"/>
          <w:lang w:eastAsia="en-GB"/>
        </w:rPr>
      </w:pPr>
      <w:r w:rsidRPr="0027773E">
        <w:rPr>
          <w:rFonts w:ascii="Arial" w:hAnsi="Arial" w:eastAsia="Times New Roman" w:cs="Arial"/>
          <w:bCs/>
          <w:color w:val="000000"/>
          <w:sz w:val="22"/>
          <w:lang w:eastAsia="en-GB"/>
        </w:rPr>
        <w:t xml:space="preserve">The sooner we can move to a more reflective form of the NFF the better for schools, like ours, that have budgets that are not keeping pace but stable numbers, and, who do not benefit to the same extent as many other schools via other funding streams. I am also mindful of the difficult decisions the LA has to make in terms of trying to meet its statutory responsibilities to all schools. Historically we supported each other but the new models of academies and free schools are now prompting LA schools to “look after number one” and that is something our Governing Body is very keen to do. I have to admit I reluctantly agree with them.  </w:t>
      </w:r>
    </w:p>
    <w:p w:rsidRPr="0027773E" w:rsidR="0027773E" w:rsidP="00F11B15" w:rsidRDefault="0027773E">
      <w:pPr>
        <w:pStyle w:val="ListParagraph"/>
        <w:numPr>
          <w:ilvl w:val="0"/>
          <w:numId w:val="24"/>
        </w:numPr>
        <w:ind w:hanging="720"/>
        <w:rPr>
          <w:rFonts w:ascii="Arial" w:hAnsi="Arial" w:eastAsia="Times New Roman" w:cs="Arial"/>
          <w:bCs/>
          <w:color w:val="000000"/>
          <w:sz w:val="22"/>
          <w:lang w:eastAsia="en-GB"/>
        </w:rPr>
      </w:pPr>
      <w:r w:rsidRPr="0027773E">
        <w:rPr>
          <w:rFonts w:ascii="Arial" w:hAnsi="Arial" w:eastAsia="Times New Roman" w:cs="Arial"/>
          <w:bCs/>
          <w:color w:val="000000"/>
          <w:sz w:val="22"/>
          <w:lang w:eastAsia="en-GB"/>
        </w:rPr>
        <w:t xml:space="preserve">I understand that the LA has to move forward with the NFF and can see that a lot of time and thought has been put into the preparation of this consultation. Whilst I feel that LA is trying very hard to be both fair and supportive I remain deeply concerned as to the financial future of small schools. </w:t>
      </w:r>
    </w:p>
    <w:p w:rsidRPr="0027773E" w:rsidR="0027773E" w:rsidP="00C57619" w:rsidRDefault="0027773E">
      <w:pPr>
        <w:pStyle w:val="ListParagraph"/>
        <w:numPr>
          <w:ilvl w:val="0"/>
          <w:numId w:val="24"/>
        </w:numPr>
        <w:ind w:hanging="720"/>
        <w:rPr>
          <w:rFonts w:ascii="Calibri" w:hAnsi="Calibri" w:eastAsia="Times New Roman" w:cs="Calibri"/>
          <w:color w:val="000000"/>
          <w:sz w:val="22"/>
          <w:lang w:eastAsia="en-GB"/>
        </w:rPr>
      </w:pPr>
      <w:r w:rsidRPr="0027773E">
        <w:rPr>
          <w:rFonts w:ascii="Arial" w:hAnsi="Arial" w:eastAsia="Times New Roman" w:cs="Arial"/>
          <w:bCs/>
          <w:color w:val="000000"/>
          <w:sz w:val="22"/>
          <w:lang w:eastAsia="en-GB"/>
        </w:rPr>
        <w:t xml:space="preserve">As much of the funding is weighted towards deprivation and low prior attainment, very little, if any benefit is felt by broadly average schools with their own wide range of challenges.  The majority of our financial challenges are in the area of SEND where broader ranging and more frequent and, complex cases are being seen all of the time.  This is not adequately funded through the SEND allocation and is not addressed in this consultation. </w:t>
      </w:r>
    </w:p>
    <w:p w:rsidRPr="0027773E" w:rsidR="0027773E" w:rsidP="00702695" w:rsidRDefault="0027773E">
      <w:pPr>
        <w:pStyle w:val="ListParagraph"/>
        <w:numPr>
          <w:ilvl w:val="0"/>
          <w:numId w:val="24"/>
        </w:numPr>
        <w:ind w:hanging="720"/>
        <w:rPr>
          <w:rFonts w:ascii="Arial" w:hAnsi="Arial" w:eastAsia="Times New Roman" w:cs="Arial"/>
          <w:bCs/>
          <w:color w:val="000000"/>
          <w:sz w:val="22"/>
          <w:lang w:eastAsia="en-GB"/>
        </w:rPr>
      </w:pPr>
      <w:r w:rsidRPr="0027773E">
        <w:rPr>
          <w:rFonts w:ascii="Arial" w:hAnsi="Arial" w:eastAsia="Times New Roman" w:cs="Arial"/>
          <w:bCs/>
          <w:color w:val="000000"/>
          <w:sz w:val="22"/>
          <w:lang w:eastAsia="en-GB"/>
        </w:rPr>
        <w:t xml:space="preserve">If Derbyshire is truly committed to supporting rural schools then this proposal is completely ineffective.  Funds need to support the smaller schools who do not benefit from economies of scale and ‘full classes.’  Where schools are experiencing reduced numbers, additional funding, including for having adequate investment in Senior Managers, is important.  Additionally, there should be greater reduction in costs for these schools to attend training and support the cost of safeguarding – which is exponentially greater in smaller schools. </w:t>
      </w:r>
    </w:p>
    <w:p w:rsidRPr="000763E9" w:rsidR="000763E9" w:rsidP="00B06756" w:rsidRDefault="0027773E">
      <w:pPr>
        <w:pStyle w:val="ListParagraph"/>
        <w:numPr>
          <w:ilvl w:val="0"/>
          <w:numId w:val="24"/>
        </w:numPr>
        <w:ind w:hanging="720"/>
        <w:rPr>
          <w:rFonts w:ascii="Arial" w:hAnsi="Arial" w:eastAsia="Times New Roman" w:cs="Arial"/>
          <w:bCs/>
          <w:color w:val="000000"/>
          <w:sz w:val="22"/>
          <w:lang w:eastAsia="en-GB"/>
        </w:rPr>
      </w:pPr>
      <w:r w:rsidRPr="0027773E">
        <w:rPr>
          <w:rFonts w:ascii="Arial" w:hAnsi="Arial" w:eastAsia="Times New Roman" w:cs="Arial"/>
          <w:bCs/>
          <w:color w:val="000000"/>
          <w:sz w:val="22"/>
          <w:lang w:eastAsia="en-GB"/>
        </w:rPr>
        <w:t xml:space="preserve">This is such a complex issue – it took one of my governors (who went to Cambridge) to make it clear to us. We think that the make-up of the schools’ forum is now so important when making these decisions and that it should not just be down to who volunteers for it. </w:t>
      </w:r>
      <w:r w:rsidRPr="000763E9">
        <w:rPr>
          <w:rFonts w:ascii="Arial" w:hAnsi="Arial" w:eastAsia="Times New Roman" w:cs="Arial"/>
          <w:bCs/>
          <w:color w:val="000000"/>
          <w:sz w:val="22"/>
          <w:lang w:eastAsia="en-GB"/>
        </w:rPr>
        <w:t xml:space="preserve"> </w:t>
      </w:r>
      <w:r w:rsidRPr="0027773E">
        <w:rPr>
          <w:rFonts w:ascii="Arial" w:hAnsi="Arial" w:eastAsia="Times New Roman" w:cs="Arial"/>
          <w:bCs/>
          <w:color w:val="000000"/>
          <w:sz w:val="22"/>
          <w:lang w:eastAsia="en-GB"/>
        </w:rPr>
        <w:t>My governors feel that this is an area which is very difficult to consult on and it is a short period of time for us to respond bearing in mind the considerable complexity of all the parameters. They have sent a letter (attached) stating this fact officially.</w:t>
      </w:r>
      <w:r w:rsidRPr="000763E9" w:rsidR="000763E9">
        <w:rPr>
          <w:rFonts w:ascii="Arial" w:hAnsi="Arial" w:eastAsia="Times New Roman" w:cs="Arial"/>
          <w:bCs/>
          <w:color w:val="000000"/>
          <w:sz w:val="22"/>
          <w:lang w:eastAsia="en-GB"/>
        </w:rPr>
        <w:t xml:space="preserve"> </w:t>
      </w:r>
    </w:p>
    <w:p w:rsidRPr="000763E9" w:rsidR="000763E9" w:rsidP="00A748CC" w:rsidRDefault="000763E9">
      <w:pPr>
        <w:pStyle w:val="ListParagraph"/>
        <w:numPr>
          <w:ilvl w:val="0"/>
          <w:numId w:val="24"/>
        </w:numPr>
        <w:ind w:hanging="720"/>
        <w:rPr>
          <w:rFonts w:ascii="Arial" w:hAnsi="Arial" w:eastAsia="Times New Roman" w:cs="Arial"/>
          <w:bCs/>
          <w:color w:val="000000"/>
          <w:sz w:val="22"/>
          <w:lang w:eastAsia="en-GB"/>
        </w:rPr>
      </w:pPr>
      <w:r w:rsidRPr="000763E9">
        <w:rPr>
          <w:rFonts w:ascii="Arial" w:hAnsi="Arial" w:eastAsia="Times New Roman" w:cs="Arial"/>
          <w:bCs/>
          <w:color w:val="000000"/>
          <w:sz w:val="22"/>
          <w:lang w:eastAsia="en-GB"/>
        </w:rPr>
        <w:t xml:space="preserve">The consultation need to take place at an earlier point. Information needs to be presented in a more accessible form. </w:t>
      </w:r>
    </w:p>
    <w:p w:rsidRPr="000763E9" w:rsidR="000763E9" w:rsidP="00342D35" w:rsidRDefault="000763E9">
      <w:pPr>
        <w:pStyle w:val="ListParagraph"/>
        <w:numPr>
          <w:ilvl w:val="0"/>
          <w:numId w:val="24"/>
        </w:numPr>
        <w:ind w:hanging="720"/>
        <w:rPr>
          <w:rFonts w:ascii="Calibri" w:hAnsi="Calibri" w:eastAsia="Times New Roman" w:cs="Calibri"/>
          <w:color w:val="000000"/>
          <w:sz w:val="22"/>
          <w:lang w:eastAsia="en-GB"/>
        </w:rPr>
      </w:pPr>
      <w:r w:rsidRPr="000763E9">
        <w:rPr>
          <w:rFonts w:ascii="Arial" w:hAnsi="Arial" w:eastAsia="Times New Roman" w:cs="Arial"/>
          <w:bCs/>
          <w:color w:val="000000"/>
          <w:sz w:val="22"/>
          <w:lang w:eastAsia="en-GB"/>
        </w:rPr>
        <w:t xml:space="preserve">There is fundamentally a real terms loss of money to most schools- the forecast for our school is a negligible change in budget with ever increasing costs. In comparison, there seems to be a huge difference with the proposed new budget for some very similar schools. Overall the governing body do not think that this is a fair proposal for schools who are already in financial difficulties. </w:t>
      </w:r>
    </w:p>
    <w:p w:rsidRPr="00042CFF" w:rsidR="000763E9" w:rsidP="009D1A39" w:rsidRDefault="000763E9">
      <w:pPr>
        <w:pStyle w:val="ListParagraph"/>
        <w:numPr>
          <w:ilvl w:val="0"/>
          <w:numId w:val="24"/>
        </w:numPr>
        <w:ind w:hanging="720"/>
        <w:rPr>
          <w:rFonts w:ascii="Arial" w:hAnsi="Arial" w:eastAsia="Times New Roman" w:cs="Arial"/>
          <w:bCs/>
          <w:color w:val="000000"/>
          <w:sz w:val="22"/>
          <w:lang w:eastAsia="en-GB"/>
        </w:rPr>
      </w:pPr>
      <w:r w:rsidRPr="000763E9">
        <w:rPr>
          <w:rFonts w:ascii="Arial" w:hAnsi="Arial" w:eastAsia="Times New Roman" w:cs="Arial"/>
          <w:bCs/>
          <w:color w:val="000000"/>
          <w:sz w:val="22"/>
          <w:lang w:eastAsia="en-GB"/>
        </w:rPr>
        <w:t>We are delighted that the local authority plans to implement the letter and spirit of the promises outlined by the Secretary of State regarding the implementation of the NFF – particularly the minimum funding guarantee around per pupil income.</w:t>
      </w:r>
      <w:r w:rsidRPr="00042CFF">
        <w:rPr>
          <w:rFonts w:ascii="Arial" w:hAnsi="Arial" w:eastAsia="Times New Roman" w:cs="Arial"/>
          <w:bCs/>
          <w:color w:val="000000"/>
          <w:sz w:val="22"/>
          <w:lang w:eastAsia="en-GB"/>
        </w:rPr>
        <w:t xml:space="preserve"> </w:t>
      </w:r>
    </w:p>
    <w:p w:rsidRPr="00042CFF" w:rsidR="00042CFF" w:rsidP="00203F19" w:rsidRDefault="000763E9">
      <w:pPr>
        <w:pStyle w:val="ListParagraph"/>
        <w:numPr>
          <w:ilvl w:val="0"/>
          <w:numId w:val="24"/>
        </w:numPr>
        <w:ind w:hanging="720"/>
        <w:rPr>
          <w:rFonts w:ascii="Arial" w:hAnsi="Arial" w:eastAsia="Times New Roman" w:cs="Arial"/>
          <w:bCs/>
          <w:color w:val="000000"/>
          <w:sz w:val="22"/>
          <w:lang w:eastAsia="en-GB"/>
        </w:rPr>
      </w:pPr>
      <w:r w:rsidRPr="000763E9">
        <w:rPr>
          <w:rFonts w:ascii="Arial" w:hAnsi="Arial" w:eastAsia="Times New Roman" w:cs="Arial"/>
          <w:bCs/>
          <w:color w:val="000000"/>
          <w:sz w:val="22"/>
          <w:lang w:eastAsia="en-GB"/>
        </w:rPr>
        <w:t>We think the consultation is very thorough and fair.  It reflects a lot of thought and effort from the team responsible for funding issues. Thank you.</w:t>
      </w:r>
    </w:p>
    <w:p w:rsidRPr="00042CFF" w:rsidR="00042CFF" w:rsidP="00203F19" w:rsidRDefault="00042CFF">
      <w:pPr>
        <w:pStyle w:val="ListParagraph"/>
        <w:numPr>
          <w:ilvl w:val="0"/>
          <w:numId w:val="24"/>
        </w:numPr>
        <w:ind w:hanging="720"/>
        <w:rPr>
          <w:rFonts w:ascii="Arial" w:hAnsi="Arial" w:eastAsia="Times New Roman" w:cs="Arial"/>
          <w:bCs/>
          <w:color w:val="000000"/>
          <w:sz w:val="22"/>
          <w:lang w:eastAsia="en-GB"/>
        </w:rPr>
      </w:pPr>
      <w:r w:rsidRPr="00042CFF">
        <w:rPr>
          <w:rFonts w:ascii="Arial" w:hAnsi="Arial" w:eastAsia="Times New Roman" w:cs="Arial"/>
          <w:bCs/>
          <w:color w:val="000000"/>
          <w:sz w:val="22"/>
          <w:lang w:eastAsia="en-GB"/>
        </w:rPr>
        <w:t>This is a very difficult document to understand. We would like to have a much better understanding of NFF which offers to work to the disadvantage of our school.</w:t>
      </w:r>
    </w:p>
    <w:p w:rsidRPr="000763E9" w:rsidR="000763E9" w:rsidP="00823D63" w:rsidRDefault="000763E9">
      <w:pPr>
        <w:pStyle w:val="ListParagraph"/>
        <w:numPr>
          <w:ilvl w:val="0"/>
          <w:numId w:val="24"/>
        </w:numPr>
        <w:ind w:hanging="720"/>
        <w:rPr>
          <w:rFonts w:ascii="Calibri" w:hAnsi="Calibri" w:eastAsia="Times New Roman" w:cs="Calibri"/>
          <w:color w:val="000000"/>
          <w:sz w:val="22"/>
          <w:lang w:eastAsia="en-GB"/>
        </w:rPr>
      </w:pPr>
      <w:r w:rsidRPr="000763E9">
        <w:rPr>
          <w:rFonts w:ascii="Arial" w:hAnsi="Arial" w:eastAsia="Times New Roman" w:cs="Arial"/>
          <w:bCs/>
          <w:color w:val="000000"/>
          <w:sz w:val="22"/>
          <w:lang w:eastAsia="en-GB"/>
        </w:rPr>
        <w:t xml:space="preserve">Given the pressures on schools to ensure good progress for all children, but particularly for those below age related expectations, we would wish to see the funding allocated to the LPA fund given priority to raise the funding schools receive for this purpose in line with DfE guidance.   We would agree with the DfE approach around LPA funding for Years 1 – 4 resulting in a higher count than those for Y5 and 6 and believe that Derbyshire should move to this approach.   By ensuring funding is provided for the younger age group to close the attainment gap there should be fewer children needing LPA funding in Y5 and 6 as the funding will have been used effectively in KS1 and lower KS2 to ensure children are nearer to or at age related expectations by the time they reach Y5.   The research evidence indicates that the earlier a child catches up the better their chances are of continued success throughout school.  Therefore, priority should be given to increasing the LPA funding for years 1– 4. </w:t>
      </w:r>
    </w:p>
    <w:p w:rsidRPr="000763E9" w:rsidR="000763E9" w:rsidP="00067DD2" w:rsidRDefault="000763E9">
      <w:pPr>
        <w:pStyle w:val="ListParagraph"/>
        <w:numPr>
          <w:ilvl w:val="0"/>
          <w:numId w:val="24"/>
        </w:numPr>
        <w:ind w:hanging="720"/>
        <w:rPr>
          <w:rFonts w:ascii="Arial" w:hAnsi="Arial" w:eastAsia="Times New Roman" w:cs="Arial"/>
          <w:bCs/>
          <w:color w:val="000000"/>
          <w:sz w:val="22"/>
          <w:lang w:eastAsia="en-GB"/>
        </w:rPr>
      </w:pPr>
      <w:r w:rsidRPr="000763E9">
        <w:rPr>
          <w:rFonts w:ascii="Arial" w:hAnsi="Arial" w:eastAsia="Times New Roman" w:cs="Arial"/>
          <w:bCs/>
          <w:color w:val="000000"/>
          <w:sz w:val="22"/>
          <w:lang w:eastAsia="en-GB"/>
        </w:rPr>
        <w:t xml:space="preserve">As a small, village primary school we are concerned that the proposals do not particularly benefit us. It seems that large primary schools stand to gain significantly from the NFF but it will make little difference to small primary schools.  Although it is heartening to see that we would not lose any money based on the proposal, we only stand to gain a small amount of £1098. This is not </w:t>
      </w:r>
      <w:r w:rsidRPr="000763E9">
        <w:rPr>
          <w:rFonts w:ascii="Arial" w:hAnsi="Arial" w:eastAsia="Times New Roman" w:cs="Arial"/>
          <w:bCs/>
          <w:color w:val="000000"/>
          <w:sz w:val="22"/>
          <w:lang w:eastAsia="en-GB"/>
        </w:rPr>
        <w:lastRenderedPageBreak/>
        <w:t>enough to alleviate the huge deficit we are predicted to face in a few years’ time. With the reduction in the lump sum we would be more reliant than ever in ensuring we maintained our maximum capacity of pupils each year to give ourselves the best chance of balancing the budget. Due to our small village setting, we are never guaranteed to fill our PAN each year simply because of the small numbers of families that live in our immediate catchment. We are reliant on taking families from outside</w:t>
      </w:r>
      <w:r w:rsidRPr="000763E9">
        <w:rPr>
          <w:rFonts w:ascii="Arial" w:hAnsi="Arial" w:eastAsia="Times New Roman" w:cs="Arial"/>
          <w:bCs/>
          <w:color w:val="000000"/>
          <w:sz w:val="22"/>
          <w:lang w:eastAsia="en-GB"/>
        </w:rPr>
        <w:tab/>
        <w:t xml:space="preserve"> our catchment. At present we receive an additional exceptional circumstances fund from the LA to contribute towards our rent from the village memorial hall. However, this contribution from the LA is not enough to cover our rental cost. We would like the LA to pay the full amount towards this rental cost, not just a contribution. We would like to see the LA considering other ways to make the NFF work for the benefit of small rural schools to ensure funding is sufficient to provide our pupils with the quality of education and resources they deserve. </w:t>
      </w:r>
    </w:p>
    <w:p w:rsidRPr="000763E9" w:rsidR="000763E9" w:rsidP="00EB4713" w:rsidRDefault="000763E9">
      <w:pPr>
        <w:pStyle w:val="ListParagraph"/>
        <w:numPr>
          <w:ilvl w:val="0"/>
          <w:numId w:val="24"/>
        </w:numPr>
        <w:ind w:hanging="720"/>
        <w:rPr>
          <w:rFonts w:ascii="Calibri" w:hAnsi="Calibri" w:eastAsia="Times New Roman" w:cs="Calibri"/>
          <w:color w:val="000000"/>
          <w:sz w:val="22"/>
          <w:lang w:eastAsia="en-GB"/>
        </w:rPr>
      </w:pPr>
      <w:r w:rsidRPr="000763E9">
        <w:rPr>
          <w:rFonts w:ascii="Arial" w:hAnsi="Arial" w:eastAsia="Times New Roman" w:cs="Arial"/>
          <w:bCs/>
          <w:color w:val="000000"/>
          <w:sz w:val="22"/>
          <w:lang w:eastAsia="en-GB"/>
        </w:rPr>
        <w:t xml:space="preserve">It would be helpful to supply schools with additional modelling on the range of MFG % available to the LA.   </w:t>
      </w:r>
    </w:p>
    <w:p w:rsidRPr="00CA2CAF" w:rsidR="000763E9" w:rsidP="00F9770B" w:rsidRDefault="000763E9">
      <w:pPr>
        <w:pStyle w:val="ListParagraph"/>
        <w:numPr>
          <w:ilvl w:val="0"/>
          <w:numId w:val="24"/>
        </w:numPr>
        <w:ind w:hanging="720"/>
        <w:rPr>
          <w:rFonts w:ascii="Arial" w:hAnsi="Arial" w:eastAsia="Times New Roman" w:cs="Arial"/>
          <w:bCs/>
          <w:color w:val="000000"/>
          <w:sz w:val="22"/>
          <w:lang w:eastAsia="en-GB"/>
        </w:rPr>
      </w:pPr>
      <w:r w:rsidRPr="000763E9">
        <w:rPr>
          <w:rFonts w:ascii="Arial" w:hAnsi="Arial" w:eastAsia="Times New Roman" w:cs="Arial"/>
          <w:bCs/>
          <w:color w:val="000000"/>
          <w:sz w:val="22"/>
          <w:lang w:eastAsia="en-GB"/>
        </w:rPr>
        <w:t xml:space="preserve">As discussed in a recent TATS meeting I am surprised and disappointed that our budget share has fallen by approx. £50,000 (1.2%) despite the relevant pupil count being higher than in the previous year.  This is despite central government assurances that schools would receive more in cash terms next year and could expect increases of at least 0.5%.  This will lead to redundancies and pressure on class sizes again.  </w:t>
      </w:r>
    </w:p>
    <w:p w:rsidRPr="00CA2CAF" w:rsidR="00042CFF" w:rsidP="00F85992" w:rsidRDefault="000763E9">
      <w:pPr>
        <w:pStyle w:val="ListParagraph"/>
        <w:numPr>
          <w:ilvl w:val="0"/>
          <w:numId w:val="24"/>
        </w:numPr>
        <w:ind w:hanging="720"/>
        <w:rPr>
          <w:rFonts w:ascii="Arial" w:hAnsi="Arial" w:eastAsia="Times New Roman" w:cs="Arial"/>
          <w:bCs/>
          <w:color w:val="000000"/>
          <w:sz w:val="22"/>
          <w:lang w:eastAsia="en-GB"/>
        </w:rPr>
      </w:pPr>
      <w:r w:rsidRPr="000763E9">
        <w:rPr>
          <w:rFonts w:ascii="Arial" w:hAnsi="Arial" w:eastAsia="Times New Roman" w:cs="Arial"/>
          <w:bCs/>
          <w:color w:val="000000"/>
          <w:sz w:val="22"/>
          <w:lang w:eastAsia="en-GB"/>
        </w:rPr>
        <w:t xml:space="preserve">The main problem is that more funding is </w:t>
      </w:r>
      <w:r w:rsidRPr="00042CFF">
        <w:rPr>
          <w:rFonts w:ascii="Arial" w:hAnsi="Arial" w:eastAsia="Times New Roman" w:cs="Arial"/>
          <w:bCs/>
          <w:color w:val="000000"/>
          <w:sz w:val="22"/>
          <w:lang w:eastAsia="en-GB"/>
        </w:rPr>
        <w:t xml:space="preserve">needed for education nationally.  </w:t>
      </w:r>
      <w:r w:rsidRPr="000763E9">
        <w:rPr>
          <w:rFonts w:ascii="Arial" w:hAnsi="Arial" w:eastAsia="Times New Roman" w:cs="Arial"/>
          <w:bCs/>
          <w:color w:val="000000"/>
          <w:sz w:val="22"/>
          <w:lang w:eastAsia="en-GB"/>
        </w:rPr>
        <w:t>Beyond this though, it is important not to subvert the attempts to make current financing fairer.</w:t>
      </w:r>
      <w:r w:rsidRPr="00042CFF" w:rsidR="00042CFF">
        <w:rPr>
          <w:rFonts w:ascii="Arial" w:hAnsi="Arial" w:eastAsia="Times New Roman" w:cs="Arial"/>
          <w:bCs/>
          <w:color w:val="000000"/>
          <w:sz w:val="22"/>
          <w:lang w:eastAsia="en-GB"/>
        </w:rPr>
        <w:t xml:space="preserve"> </w:t>
      </w:r>
    </w:p>
    <w:p w:rsidRPr="00CA2CAF" w:rsidR="00CA2CAF" w:rsidP="004D065A" w:rsidRDefault="00042CFF">
      <w:pPr>
        <w:pStyle w:val="ListParagraph"/>
        <w:numPr>
          <w:ilvl w:val="0"/>
          <w:numId w:val="24"/>
        </w:numPr>
        <w:ind w:hanging="720"/>
        <w:rPr>
          <w:rFonts w:ascii="Arial" w:hAnsi="Arial" w:eastAsia="Times New Roman" w:cs="Arial"/>
          <w:bCs/>
          <w:color w:val="000000"/>
          <w:sz w:val="22"/>
          <w:lang w:eastAsia="en-GB"/>
        </w:rPr>
      </w:pPr>
      <w:r w:rsidRPr="00042CFF">
        <w:rPr>
          <w:rFonts w:ascii="Arial" w:hAnsi="Arial" w:eastAsia="Times New Roman" w:cs="Arial"/>
          <w:bCs/>
          <w:color w:val="000000"/>
          <w:sz w:val="22"/>
          <w:lang w:eastAsia="en-GB"/>
        </w:rPr>
        <w:t>We will struggle to balance our budget for 2018/19. We would request that further consideration is given to enacting the £4,800/pupil that the government have recommended. Adding in the new ESG top-slice and</w:t>
      </w:r>
      <w:r w:rsidR="001E457D">
        <w:rPr>
          <w:rFonts w:ascii="Arial" w:hAnsi="Arial" w:eastAsia="Times New Roman" w:cs="Arial"/>
          <w:bCs/>
          <w:color w:val="000000"/>
          <w:sz w:val="22"/>
          <w:lang w:eastAsia="en-GB"/>
        </w:rPr>
        <w:t>,</w:t>
      </w:r>
      <w:r w:rsidRPr="00042CFF">
        <w:rPr>
          <w:rFonts w:ascii="Arial" w:hAnsi="Arial" w:eastAsia="Times New Roman" w:cs="Arial"/>
          <w:bCs/>
          <w:color w:val="000000"/>
          <w:sz w:val="22"/>
          <w:lang w:eastAsia="en-GB"/>
        </w:rPr>
        <w:t xml:space="preserve"> with stable 11-16 pupil numbers, we estimate we will see a cash reduction in our budget for 18/19. Given pay programmes and in hand-award pay increase, this is unmanageable.</w:t>
      </w:r>
    </w:p>
    <w:p w:rsidRPr="00CA2CAF" w:rsidR="00CA2CAF" w:rsidP="004D065A" w:rsidRDefault="00CA2CAF">
      <w:pPr>
        <w:pStyle w:val="ListParagraph"/>
        <w:numPr>
          <w:ilvl w:val="0"/>
          <w:numId w:val="24"/>
        </w:numPr>
        <w:ind w:hanging="720"/>
        <w:rPr>
          <w:rFonts w:ascii="Arial" w:hAnsi="Arial" w:eastAsia="Times New Roman" w:cs="Arial"/>
          <w:bCs/>
          <w:color w:val="000000"/>
          <w:sz w:val="22"/>
          <w:lang w:eastAsia="en-GB"/>
        </w:rPr>
      </w:pPr>
      <w:r w:rsidRPr="00CA2CAF">
        <w:rPr>
          <w:rFonts w:ascii="Arial" w:hAnsi="Arial" w:eastAsia="Times New Roman" w:cs="Arial"/>
          <w:bCs/>
          <w:color w:val="000000"/>
          <w:sz w:val="22"/>
          <w:lang w:eastAsia="en-GB"/>
        </w:rPr>
        <w:t>Thank you to the School funding team for their hard work in making the NFF transition, a fair position for all school</w:t>
      </w:r>
      <w:r>
        <w:rPr>
          <w:rFonts w:ascii="Arial" w:hAnsi="Arial" w:eastAsia="Times New Roman" w:cs="Arial"/>
          <w:bCs/>
          <w:color w:val="000000"/>
          <w:sz w:val="22"/>
          <w:lang w:eastAsia="en-GB"/>
        </w:rPr>
        <w:t>s</w:t>
      </w:r>
      <w:r w:rsidRPr="00CA2CAF">
        <w:rPr>
          <w:rFonts w:ascii="Arial" w:hAnsi="Arial" w:eastAsia="Times New Roman" w:cs="Arial"/>
          <w:bCs/>
          <w:color w:val="000000"/>
          <w:sz w:val="22"/>
          <w:lang w:eastAsia="en-GB"/>
        </w:rPr>
        <w:t>.</w:t>
      </w:r>
    </w:p>
    <w:p w:rsidRPr="0027773E" w:rsidR="0027773E" w:rsidP="00CA2CAF" w:rsidRDefault="0027773E">
      <w:pPr>
        <w:pStyle w:val="ListParagraph"/>
        <w:rPr>
          <w:rFonts w:ascii="Arial" w:hAnsi="Arial" w:eastAsia="Times New Roman" w:cs="Arial"/>
          <w:bCs/>
          <w:color w:val="000000"/>
          <w:sz w:val="22"/>
          <w:lang w:eastAsia="en-GB"/>
        </w:rPr>
      </w:pPr>
    </w:p>
    <w:p w:rsidRPr="0027773E" w:rsidR="0027773E" w:rsidP="0027773E" w:rsidRDefault="0027773E">
      <w:pPr>
        <w:rPr>
          <w:rFonts w:ascii="Arial" w:hAnsi="Arial" w:eastAsia="Times New Roman" w:cs="Arial"/>
          <w:bCs/>
          <w:color w:val="000000"/>
          <w:sz w:val="22"/>
          <w:lang w:eastAsia="en-GB"/>
        </w:rPr>
      </w:pPr>
    </w:p>
    <w:sectPr w:rsidRPr="0027773E" w:rsidR="0027773E" w:rsidSect="00E10E5A">
      <w:pgSz w:w="11906" w:h="16838"/>
      <w:pgMar w:top="568" w:right="849" w:bottom="709"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038" w:rsidRDefault="00980038" w:rsidP="00085F2B">
      <w:r>
        <w:separator/>
      </w:r>
    </w:p>
  </w:endnote>
  <w:endnote w:type="continuationSeparator" w:id="0">
    <w:p w:rsidR="00980038" w:rsidRDefault="00980038" w:rsidP="00085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erial">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425912467"/>
      <w:docPartObj>
        <w:docPartGallery w:val="Page Numbers (Bottom of Page)"/>
        <w:docPartUnique/>
      </w:docPartObj>
    </w:sdtPr>
    <w:sdtEndPr>
      <w:rPr>
        <w:noProof/>
      </w:rPr>
    </w:sdtEndPr>
    <w:sdtContent>
      <w:p w:rsidR="00980038" w:rsidRPr="00A26081" w:rsidRDefault="00980038">
        <w:pPr>
          <w:pStyle w:val="Footer"/>
          <w:jc w:val="center"/>
          <w:rPr>
            <w:rFonts w:ascii="Arial" w:hAnsi="Arial" w:cs="Arial"/>
          </w:rPr>
        </w:pPr>
        <w:r w:rsidRPr="00A26081">
          <w:rPr>
            <w:rFonts w:ascii="Arial" w:hAnsi="Arial" w:cs="Arial"/>
          </w:rPr>
          <w:fldChar w:fldCharType="begin"/>
        </w:r>
        <w:r w:rsidRPr="00A26081">
          <w:rPr>
            <w:rFonts w:ascii="Arial" w:hAnsi="Arial" w:cs="Arial"/>
          </w:rPr>
          <w:instrText xml:space="preserve"> PAGE   \* MERGEFORMAT </w:instrText>
        </w:r>
        <w:r w:rsidRPr="00A26081">
          <w:rPr>
            <w:rFonts w:ascii="Arial" w:hAnsi="Arial" w:cs="Arial"/>
          </w:rPr>
          <w:fldChar w:fldCharType="separate"/>
        </w:r>
        <w:r w:rsidR="0034390E">
          <w:rPr>
            <w:rFonts w:ascii="Arial" w:hAnsi="Arial" w:cs="Arial"/>
            <w:noProof/>
          </w:rPr>
          <w:t>4</w:t>
        </w:r>
        <w:r w:rsidRPr="00A26081">
          <w:rPr>
            <w:rFonts w:ascii="Arial" w:hAnsi="Arial" w:cs="Arial"/>
            <w:noProof/>
          </w:rPr>
          <w:fldChar w:fldCharType="end"/>
        </w:r>
      </w:p>
    </w:sdtContent>
  </w:sdt>
  <w:p w:rsidR="00980038" w:rsidRDefault="009800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038" w:rsidRDefault="00980038" w:rsidP="00085F2B">
      <w:r>
        <w:separator/>
      </w:r>
    </w:p>
  </w:footnote>
  <w:footnote w:type="continuationSeparator" w:id="0">
    <w:p w:rsidR="00980038" w:rsidRDefault="00980038" w:rsidP="00085F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62B22"/>
    <w:multiLevelType w:val="hybridMultilevel"/>
    <w:tmpl w:val="E9309EF6"/>
    <w:lvl w:ilvl="0" w:tplc="D4F4136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B1624F"/>
    <w:multiLevelType w:val="hybridMultilevel"/>
    <w:tmpl w:val="0CEE40DC"/>
    <w:lvl w:ilvl="0" w:tplc="2A927F46">
      <w:start w:val="1"/>
      <w:numFmt w:val="lowerRoman"/>
      <w:lvlText w:val="(%1)"/>
      <w:lvlJc w:val="left"/>
      <w:pPr>
        <w:ind w:left="1440" w:hanging="72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4FF3EDD"/>
    <w:multiLevelType w:val="hybridMultilevel"/>
    <w:tmpl w:val="D7F0A930"/>
    <w:lvl w:ilvl="0" w:tplc="0809000B">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15BD3412"/>
    <w:multiLevelType w:val="hybridMultilevel"/>
    <w:tmpl w:val="81B8D2EC"/>
    <w:lvl w:ilvl="0" w:tplc="76ECB516">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CDD6E78"/>
    <w:multiLevelType w:val="hybridMultilevel"/>
    <w:tmpl w:val="93E6561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1E15304F"/>
    <w:multiLevelType w:val="hybridMultilevel"/>
    <w:tmpl w:val="E452A1BC"/>
    <w:lvl w:ilvl="0" w:tplc="74E01D8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13A533B"/>
    <w:multiLevelType w:val="hybridMultilevel"/>
    <w:tmpl w:val="9050DA6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06043D"/>
    <w:multiLevelType w:val="hybridMultilevel"/>
    <w:tmpl w:val="C1F447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A5D77D9"/>
    <w:multiLevelType w:val="hybridMultilevel"/>
    <w:tmpl w:val="42C60610"/>
    <w:lvl w:ilvl="0" w:tplc="2768411C">
      <w:start w:val="1"/>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9" w15:restartNumberingAfterBreak="0">
    <w:nsid w:val="2CC1349F"/>
    <w:multiLevelType w:val="hybridMultilevel"/>
    <w:tmpl w:val="FE328D74"/>
    <w:lvl w:ilvl="0" w:tplc="4630F3AE">
      <w:start w:val="1"/>
      <w:numFmt w:val="lowerRoman"/>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EA3670C"/>
    <w:multiLevelType w:val="hybridMultilevel"/>
    <w:tmpl w:val="18E6815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1" w15:restartNumberingAfterBreak="0">
    <w:nsid w:val="3DCE563C"/>
    <w:multiLevelType w:val="hybridMultilevel"/>
    <w:tmpl w:val="1EAC24C8"/>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2" w15:restartNumberingAfterBreak="0">
    <w:nsid w:val="3FEC0362"/>
    <w:multiLevelType w:val="hybridMultilevel"/>
    <w:tmpl w:val="FAAC24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9D6285"/>
    <w:multiLevelType w:val="hybridMultilevel"/>
    <w:tmpl w:val="B20CF4F8"/>
    <w:lvl w:ilvl="0" w:tplc="4630F3A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CFB6E8B"/>
    <w:multiLevelType w:val="hybridMultilevel"/>
    <w:tmpl w:val="50822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DB44687"/>
    <w:multiLevelType w:val="hybridMultilevel"/>
    <w:tmpl w:val="CAEC6C0E"/>
    <w:lvl w:ilvl="0" w:tplc="4630F3A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E6B13C8"/>
    <w:multiLevelType w:val="hybridMultilevel"/>
    <w:tmpl w:val="04101ED2"/>
    <w:lvl w:ilvl="0" w:tplc="4630F3AE">
      <w:start w:val="1"/>
      <w:numFmt w:val="lowerRoman"/>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E8B624C"/>
    <w:multiLevelType w:val="hybridMultilevel"/>
    <w:tmpl w:val="F49CD0BA"/>
    <w:lvl w:ilvl="0" w:tplc="EE1E762C">
      <w:start w:val="1"/>
      <w:numFmt w:val="lowerRoman"/>
      <w:lvlText w:val="(%1)"/>
      <w:lvlJc w:val="left"/>
      <w:pPr>
        <w:ind w:left="1288"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2B9591F"/>
    <w:multiLevelType w:val="hybridMultilevel"/>
    <w:tmpl w:val="1BF60118"/>
    <w:lvl w:ilvl="0" w:tplc="DAA0AC08">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9" w15:restartNumberingAfterBreak="0">
    <w:nsid w:val="53CB6B3B"/>
    <w:multiLevelType w:val="hybridMultilevel"/>
    <w:tmpl w:val="16E475AA"/>
    <w:lvl w:ilvl="0" w:tplc="3FC8570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E322BC"/>
    <w:multiLevelType w:val="hybridMultilevel"/>
    <w:tmpl w:val="84DA4182"/>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1" w15:restartNumberingAfterBreak="0">
    <w:nsid w:val="6B131593"/>
    <w:multiLevelType w:val="hybridMultilevel"/>
    <w:tmpl w:val="D72685EC"/>
    <w:lvl w:ilvl="0" w:tplc="4630F3AE">
      <w:start w:val="1"/>
      <w:numFmt w:val="lowerRoman"/>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5905D3B"/>
    <w:multiLevelType w:val="hybridMultilevel"/>
    <w:tmpl w:val="B20CF4F8"/>
    <w:lvl w:ilvl="0" w:tplc="4630F3A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B570693"/>
    <w:multiLevelType w:val="hybridMultilevel"/>
    <w:tmpl w:val="BD2CE0D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7"/>
  </w:num>
  <w:num w:numId="2">
    <w:abstractNumId w:val="6"/>
  </w:num>
  <w:num w:numId="3">
    <w:abstractNumId w:val="17"/>
  </w:num>
  <w:num w:numId="4">
    <w:abstractNumId w:val="19"/>
  </w:num>
  <w:num w:numId="5">
    <w:abstractNumId w:val="5"/>
  </w:num>
  <w:num w:numId="6">
    <w:abstractNumId w:val="3"/>
  </w:num>
  <w:num w:numId="7">
    <w:abstractNumId w:val="12"/>
  </w:num>
  <w:num w:numId="8">
    <w:abstractNumId w:val="0"/>
  </w:num>
  <w:num w:numId="9">
    <w:abstractNumId w:val="18"/>
  </w:num>
  <w:num w:numId="10">
    <w:abstractNumId w:val="1"/>
  </w:num>
  <w:num w:numId="11">
    <w:abstractNumId w:val="20"/>
  </w:num>
  <w:num w:numId="12">
    <w:abstractNumId w:val="10"/>
  </w:num>
  <w:num w:numId="13">
    <w:abstractNumId w:val="23"/>
  </w:num>
  <w:num w:numId="14">
    <w:abstractNumId w:val="8"/>
  </w:num>
  <w:num w:numId="15">
    <w:abstractNumId w:val="11"/>
  </w:num>
  <w:num w:numId="16">
    <w:abstractNumId w:val="2"/>
  </w:num>
  <w:num w:numId="17">
    <w:abstractNumId w:val="4"/>
  </w:num>
  <w:num w:numId="18">
    <w:abstractNumId w:val="14"/>
  </w:num>
  <w:num w:numId="19">
    <w:abstractNumId w:val="13"/>
  </w:num>
  <w:num w:numId="20">
    <w:abstractNumId w:val="21"/>
  </w:num>
  <w:num w:numId="21">
    <w:abstractNumId w:val="16"/>
  </w:num>
  <w:num w:numId="22">
    <w:abstractNumId w:val="9"/>
  </w:num>
  <w:num w:numId="23">
    <w:abstractNumId w:val="22"/>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502"/>
    <w:rsid w:val="0000788A"/>
    <w:rsid w:val="00040848"/>
    <w:rsid w:val="00042CFF"/>
    <w:rsid w:val="000763E9"/>
    <w:rsid w:val="00085F2B"/>
    <w:rsid w:val="00094C52"/>
    <w:rsid w:val="000D013F"/>
    <w:rsid w:val="000F7717"/>
    <w:rsid w:val="001619DF"/>
    <w:rsid w:val="001923CE"/>
    <w:rsid w:val="001C0E24"/>
    <w:rsid w:val="001C322D"/>
    <w:rsid w:val="001C58AE"/>
    <w:rsid w:val="001E457D"/>
    <w:rsid w:val="002060FF"/>
    <w:rsid w:val="00275755"/>
    <w:rsid w:val="0027773E"/>
    <w:rsid w:val="00283ABE"/>
    <w:rsid w:val="002B0591"/>
    <w:rsid w:val="003133AC"/>
    <w:rsid w:val="0032535D"/>
    <w:rsid w:val="00327A5A"/>
    <w:rsid w:val="0034390E"/>
    <w:rsid w:val="003948E4"/>
    <w:rsid w:val="003A0711"/>
    <w:rsid w:val="003E7304"/>
    <w:rsid w:val="004047D7"/>
    <w:rsid w:val="00416893"/>
    <w:rsid w:val="004172A6"/>
    <w:rsid w:val="00420F7B"/>
    <w:rsid w:val="0042515F"/>
    <w:rsid w:val="004D046C"/>
    <w:rsid w:val="004D6144"/>
    <w:rsid w:val="004F0FCD"/>
    <w:rsid w:val="005673FA"/>
    <w:rsid w:val="00576048"/>
    <w:rsid w:val="00584431"/>
    <w:rsid w:val="005A46AC"/>
    <w:rsid w:val="005D13C3"/>
    <w:rsid w:val="0060029C"/>
    <w:rsid w:val="0060777E"/>
    <w:rsid w:val="00672CD1"/>
    <w:rsid w:val="006A7B39"/>
    <w:rsid w:val="006D17CF"/>
    <w:rsid w:val="006D7EFE"/>
    <w:rsid w:val="007024CC"/>
    <w:rsid w:val="0074017A"/>
    <w:rsid w:val="0077677C"/>
    <w:rsid w:val="00783DC8"/>
    <w:rsid w:val="007F2092"/>
    <w:rsid w:val="007F2DCB"/>
    <w:rsid w:val="00801195"/>
    <w:rsid w:val="00807774"/>
    <w:rsid w:val="00851A64"/>
    <w:rsid w:val="00875D5F"/>
    <w:rsid w:val="00886EAA"/>
    <w:rsid w:val="00894784"/>
    <w:rsid w:val="008B3502"/>
    <w:rsid w:val="008D7308"/>
    <w:rsid w:val="00924D7E"/>
    <w:rsid w:val="00955746"/>
    <w:rsid w:val="00980038"/>
    <w:rsid w:val="009A5DB4"/>
    <w:rsid w:val="009B2196"/>
    <w:rsid w:val="009C39A0"/>
    <w:rsid w:val="009D2AE9"/>
    <w:rsid w:val="009E7DD9"/>
    <w:rsid w:val="009F3171"/>
    <w:rsid w:val="00A042FC"/>
    <w:rsid w:val="00A230D3"/>
    <w:rsid w:val="00A26081"/>
    <w:rsid w:val="00A26370"/>
    <w:rsid w:val="00A674A2"/>
    <w:rsid w:val="00AA583F"/>
    <w:rsid w:val="00B61D60"/>
    <w:rsid w:val="00B73C3D"/>
    <w:rsid w:val="00B80CEA"/>
    <w:rsid w:val="00C418D4"/>
    <w:rsid w:val="00C71EAC"/>
    <w:rsid w:val="00C800AB"/>
    <w:rsid w:val="00C93686"/>
    <w:rsid w:val="00CA2CAF"/>
    <w:rsid w:val="00D31B35"/>
    <w:rsid w:val="00D514B4"/>
    <w:rsid w:val="00D85946"/>
    <w:rsid w:val="00E02AD1"/>
    <w:rsid w:val="00E10E5A"/>
    <w:rsid w:val="00E352A1"/>
    <w:rsid w:val="00E97D82"/>
    <w:rsid w:val="00EA0D3D"/>
    <w:rsid w:val="00ED4F0B"/>
    <w:rsid w:val="00EE47A7"/>
    <w:rsid w:val="00EE7C0C"/>
    <w:rsid w:val="00F101F1"/>
    <w:rsid w:val="00F2188F"/>
    <w:rsid w:val="00F46D64"/>
    <w:rsid w:val="00F51786"/>
    <w:rsid w:val="00F56B73"/>
    <w:rsid w:val="00FC4B73"/>
    <w:rsid w:val="00FD012F"/>
    <w:rsid w:val="00FD2F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63514D88-BA8D-4E0C-95B2-4D87B900D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3502"/>
    <w:pPr>
      <w:spacing w:after="0" w:line="240" w:lineRule="auto"/>
    </w:pPr>
    <w:rPr>
      <w:rFonts w:ascii="Aerial" w:hAnsi="Ae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3502"/>
    <w:pPr>
      <w:ind w:left="720"/>
      <w:contextualSpacing/>
    </w:pPr>
  </w:style>
  <w:style w:type="paragraph" w:customStyle="1" w:styleId="Default">
    <w:name w:val="Default"/>
    <w:rsid w:val="008B3502"/>
    <w:pPr>
      <w:autoSpaceDE w:val="0"/>
      <w:autoSpaceDN w:val="0"/>
      <w:adjustRightInd w:val="0"/>
      <w:spacing w:after="0" w:line="240" w:lineRule="auto"/>
    </w:pPr>
    <w:rPr>
      <w:rFonts w:ascii="Arial" w:hAnsi="Arial" w:cs="Arial"/>
      <w:color w:val="000000"/>
      <w:sz w:val="24"/>
      <w:szCs w:val="24"/>
    </w:rPr>
  </w:style>
  <w:style w:type="character" w:styleId="Hyperlink">
    <w:name w:val="Hyperlink"/>
    <w:uiPriority w:val="99"/>
    <w:unhideWhenUsed/>
    <w:rsid w:val="008B3502"/>
    <w:rPr>
      <w:color w:val="0000FF"/>
      <w:u w:val="single"/>
    </w:rPr>
  </w:style>
  <w:style w:type="table" w:styleId="TableGrid">
    <w:name w:val="Table Grid"/>
    <w:basedOn w:val="TableNormal"/>
    <w:uiPriority w:val="59"/>
    <w:rsid w:val="008D7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85F2B"/>
    <w:pPr>
      <w:tabs>
        <w:tab w:val="center" w:pos="4513"/>
        <w:tab w:val="right" w:pos="9026"/>
      </w:tabs>
    </w:pPr>
  </w:style>
  <w:style w:type="character" w:customStyle="1" w:styleId="HeaderChar">
    <w:name w:val="Header Char"/>
    <w:basedOn w:val="DefaultParagraphFont"/>
    <w:link w:val="Header"/>
    <w:uiPriority w:val="99"/>
    <w:rsid w:val="00085F2B"/>
    <w:rPr>
      <w:rFonts w:ascii="Aerial" w:hAnsi="Aerial"/>
      <w:sz w:val="24"/>
    </w:rPr>
  </w:style>
  <w:style w:type="paragraph" w:styleId="Footer">
    <w:name w:val="footer"/>
    <w:basedOn w:val="Normal"/>
    <w:link w:val="FooterChar"/>
    <w:uiPriority w:val="99"/>
    <w:unhideWhenUsed/>
    <w:rsid w:val="00085F2B"/>
    <w:pPr>
      <w:tabs>
        <w:tab w:val="center" w:pos="4513"/>
        <w:tab w:val="right" w:pos="9026"/>
      </w:tabs>
    </w:pPr>
  </w:style>
  <w:style w:type="character" w:customStyle="1" w:styleId="FooterChar">
    <w:name w:val="Footer Char"/>
    <w:basedOn w:val="DefaultParagraphFont"/>
    <w:link w:val="Footer"/>
    <w:uiPriority w:val="99"/>
    <w:rsid w:val="00085F2B"/>
    <w:rPr>
      <w:rFonts w:ascii="Aerial" w:hAnsi="Aerial"/>
      <w:sz w:val="24"/>
    </w:rPr>
  </w:style>
  <w:style w:type="paragraph" w:styleId="BalloonText">
    <w:name w:val="Balloon Text"/>
    <w:basedOn w:val="Normal"/>
    <w:link w:val="BalloonTextChar"/>
    <w:uiPriority w:val="99"/>
    <w:semiHidden/>
    <w:unhideWhenUsed/>
    <w:rsid w:val="00B73C3D"/>
    <w:rPr>
      <w:rFonts w:ascii="Tahoma" w:hAnsi="Tahoma" w:cs="Tahoma"/>
      <w:sz w:val="16"/>
      <w:szCs w:val="16"/>
    </w:rPr>
  </w:style>
  <w:style w:type="character" w:customStyle="1" w:styleId="BalloonTextChar">
    <w:name w:val="Balloon Text Char"/>
    <w:basedOn w:val="DefaultParagraphFont"/>
    <w:link w:val="BalloonText"/>
    <w:uiPriority w:val="99"/>
    <w:semiHidden/>
    <w:rsid w:val="00B73C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89648">
      <w:bodyDiv w:val="1"/>
      <w:marLeft w:val="0"/>
      <w:marRight w:val="0"/>
      <w:marTop w:val="0"/>
      <w:marBottom w:val="0"/>
      <w:divBdr>
        <w:top w:val="none" w:sz="0" w:space="0" w:color="auto"/>
        <w:left w:val="none" w:sz="0" w:space="0" w:color="auto"/>
        <w:bottom w:val="none" w:sz="0" w:space="0" w:color="auto"/>
        <w:right w:val="none" w:sz="0" w:space="0" w:color="auto"/>
      </w:divBdr>
    </w:div>
    <w:div w:id="59669704">
      <w:bodyDiv w:val="1"/>
      <w:marLeft w:val="0"/>
      <w:marRight w:val="0"/>
      <w:marTop w:val="0"/>
      <w:marBottom w:val="0"/>
      <w:divBdr>
        <w:top w:val="none" w:sz="0" w:space="0" w:color="auto"/>
        <w:left w:val="none" w:sz="0" w:space="0" w:color="auto"/>
        <w:bottom w:val="none" w:sz="0" w:space="0" w:color="auto"/>
        <w:right w:val="none" w:sz="0" w:space="0" w:color="auto"/>
      </w:divBdr>
    </w:div>
    <w:div w:id="73287161">
      <w:bodyDiv w:val="1"/>
      <w:marLeft w:val="0"/>
      <w:marRight w:val="0"/>
      <w:marTop w:val="0"/>
      <w:marBottom w:val="0"/>
      <w:divBdr>
        <w:top w:val="none" w:sz="0" w:space="0" w:color="auto"/>
        <w:left w:val="none" w:sz="0" w:space="0" w:color="auto"/>
        <w:bottom w:val="none" w:sz="0" w:space="0" w:color="auto"/>
        <w:right w:val="none" w:sz="0" w:space="0" w:color="auto"/>
      </w:divBdr>
    </w:div>
    <w:div w:id="160124043">
      <w:bodyDiv w:val="1"/>
      <w:marLeft w:val="0"/>
      <w:marRight w:val="0"/>
      <w:marTop w:val="0"/>
      <w:marBottom w:val="0"/>
      <w:divBdr>
        <w:top w:val="none" w:sz="0" w:space="0" w:color="auto"/>
        <w:left w:val="none" w:sz="0" w:space="0" w:color="auto"/>
        <w:bottom w:val="none" w:sz="0" w:space="0" w:color="auto"/>
        <w:right w:val="none" w:sz="0" w:space="0" w:color="auto"/>
      </w:divBdr>
    </w:div>
    <w:div w:id="177620566">
      <w:bodyDiv w:val="1"/>
      <w:marLeft w:val="0"/>
      <w:marRight w:val="0"/>
      <w:marTop w:val="0"/>
      <w:marBottom w:val="0"/>
      <w:divBdr>
        <w:top w:val="none" w:sz="0" w:space="0" w:color="auto"/>
        <w:left w:val="none" w:sz="0" w:space="0" w:color="auto"/>
        <w:bottom w:val="none" w:sz="0" w:space="0" w:color="auto"/>
        <w:right w:val="none" w:sz="0" w:space="0" w:color="auto"/>
      </w:divBdr>
    </w:div>
    <w:div w:id="195120720">
      <w:bodyDiv w:val="1"/>
      <w:marLeft w:val="0"/>
      <w:marRight w:val="0"/>
      <w:marTop w:val="0"/>
      <w:marBottom w:val="0"/>
      <w:divBdr>
        <w:top w:val="none" w:sz="0" w:space="0" w:color="auto"/>
        <w:left w:val="none" w:sz="0" w:space="0" w:color="auto"/>
        <w:bottom w:val="none" w:sz="0" w:space="0" w:color="auto"/>
        <w:right w:val="none" w:sz="0" w:space="0" w:color="auto"/>
      </w:divBdr>
    </w:div>
    <w:div w:id="213080251">
      <w:bodyDiv w:val="1"/>
      <w:marLeft w:val="0"/>
      <w:marRight w:val="0"/>
      <w:marTop w:val="0"/>
      <w:marBottom w:val="0"/>
      <w:divBdr>
        <w:top w:val="none" w:sz="0" w:space="0" w:color="auto"/>
        <w:left w:val="none" w:sz="0" w:space="0" w:color="auto"/>
        <w:bottom w:val="none" w:sz="0" w:space="0" w:color="auto"/>
        <w:right w:val="none" w:sz="0" w:space="0" w:color="auto"/>
      </w:divBdr>
    </w:div>
    <w:div w:id="218711942">
      <w:bodyDiv w:val="1"/>
      <w:marLeft w:val="0"/>
      <w:marRight w:val="0"/>
      <w:marTop w:val="0"/>
      <w:marBottom w:val="0"/>
      <w:divBdr>
        <w:top w:val="none" w:sz="0" w:space="0" w:color="auto"/>
        <w:left w:val="none" w:sz="0" w:space="0" w:color="auto"/>
        <w:bottom w:val="none" w:sz="0" w:space="0" w:color="auto"/>
        <w:right w:val="none" w:sz="0" w:space="0" w:color="auto"/>
      </w:divBdr>
    </w:div>
    <w:div w:id="220092153">
      <w:bodyDiv w:val="1"/>
      <w:marLeft w:val="0"/>
      <w:marRight w:val="0"/>
      <w:marTop w:val="0"/>
      <w:marBottom w:val="0"/>
      <w:divBdr>
        <w:top w:val="none" w:sz="0" w:space="0" w:color="auto"/>
        <w:left w:val="none" w:sz="0" w:space="0" w:color="auto"/>
        <w:bottom w:val="none" w:sz="0" w:space="0" w:color="auto"/>
        <w:right w:val="none" w:sz="0" w:space="0" w:color="auto"/>
      </w:divBdr>
    </w:div>
    <w:div w:id="224217650">
      <w:bodyDiv w:val="1"/>
      <w:marLeft w:val="0"/>
      <w:marRight w:val="0"/>
      <w:marTop w:val="0"/>
      <w:marBottom w:val="0"/>
      <w:divBdr>
        <w:top w:val="none" w:sz="0" w:space="0" w:color="auto"/>
        <w:left w:val="none" w:sz="0" w:space="0" w:color="auto"/>
        <w:bottom w:val="none" w:sz="0" w:space="0" w:color="auto"/>
        <w:right w:val="none" w:sz="0" w:space="0" w:color="auto"/>
      </w:divBdr>
    </w:div>
    <w:div w:id="306477748">
      <w:bodyDiv w:val="1"/>
      <w:marLeft w:val="0"/>
      <w:marRight w:val="0"/>
      <w:marTop w:val="0"/>
      <w:marBottom w:val="0"/>
      <w:divBdr>
        <w:top w:val="none" w:sz="0" w:space="0" w:color="auto"/>
        <w:left w:val="none" w:sz="0" w:space="0" w:color="auto"/>
        <w:bottom w:val="none" w:sz="0" w:space="0" w:color="auto"/>
        <w:right w:val="none" w:sz="0" w:space="0" w:color="auto"/>
      </w:divBdr>
    </w:div>
    <w:div w:id="373166047">
      <w:bodyDiv w:val="1"/>
      <w:marLeft w:val="0"/>
      <w:marRight w:val="0"/>
      <w:marTop w:val="0"/>
      <w:marBottom w:val="0"/>
      <w:divBdr>
        <w:top w:val="none" w:sz="0" w:space="0" w:color="auto"/>
        <w:left w:val="none" w:sz="0" w:space="0" w:color="auto"/>
        <w:bottom w:val="none" w:sz="0" w:space="0" w:color="auto"/>
        <w:right w:val="none" w:sz="0" w:space="0" w:color="auto"/>
      </w:divBdr>
    </w:div>
    <w:div w:id="389618981">
      <w:bodyDiv w:val="1"/>
      <w:marLeft w:val="0"/>
      <w:marRight w:val="0"/>
      <w:marTop w:val="0"/>
      <w:marBottom w:val="0"/>
      <w:divBdr>
        <w:top w:val="none" w:sz="0" w:space="0" w:color="auto"/>
        <w:left w:val="none" w:sz="0" w:space="0" w:color="auto"/>
        <w:bottom w:val="none" w:sz="0" w:space="0" w:color="auto"/>
        <w:right w:val="none" w:sz="0" w:space="0" w:color="auto"/>
      </w:divBdr>
    </w:div>
    <w:div w:id="405491400">
      <w:bodyDiv w:val="1"/>
      <w:marLeft w:val="0"/>
      <w:marRight w:val="0"/>
      <w:marTop w:val="0"/>
      <w:marBottom w:val="0"/>
      <w:divBdr>
        <w:top w:val="none" w:sz="0" w:space="0" w:color="auto"/>
        <w:left w:val="none" w:sz="0" w:space="0" w:color="auto"/>
        <w:bottom w:val="none" w:sz="0" w:space="0" w:color="auto"/>
        <w:right w:val="none" w:sz="0" w:space="0" w:color="auto"/>
      </w:divBdr>
    </w:div>
    <w:div w:id="461849550">
      <w:bodyDiv w:val="1"/>
      <w:marLeft w:val="0"/>
      <w:marRight w:val="0"/>
      <w:marTop w:val="0"/>
      <w:marBottom w:val="0"/>
      <w:divBdr>
        <w:top w:val="none" w:sz="0" w:space="0" w:color="auto"/>
        <w:left w:val="none" w:sz="0" w:space="0" w:color="auto"/>
        <w:bottom w:val="none" w:sz="0" w:space="0" w:color="auto"/>
        <w:right w:val="none" w:sz="0" w:space="0" w:color="auto"/>
      </w:divBdr>
    </w:div>
    <w:div w:id="489759570">
      <w:bodyDiv w:val="1"/>
      <w:marLeft w:val="0"/>
      <w:marRight w:val="0"/>
      <w:marTop w:val="0"/>
      <w:marBottom w:val="0"/>
      <w:divBdr>
        <w:top w:val="none" w:sz="0" w:space="0" w:color="auto"/>
        <w:left w:val="none" w:sz="0" w:space="0" w:color="auto"/>
        <w:bottom w:val="none" w:sz="0" w:space="0" w:color="auto"/>
        <w:right w:val="none" w:sz="0" w:space="0" w:color="auto"/>
      </w:divBdr>
    </w:div>
    <w:div w:id="521941230">
      <w:bodyDiv w:val="1"/>
      <w:marLeft w:val="0"/>
      <w:marRight w:val="0"/>
      <w:marTop w:val="0"/>
      <w:marBottom w:val="0"/>
      <w:divBdr>
        <w:top w:val="none" w:sz="0" w:space="0" w:color="auto"/>
        <w:left w:val="none" w:sz="0" w:space="0" w:color="auto"/>
        <w:bottom w:val="none" w:sz="0" w:space="0" w:color="auto"/>
        <w:right w:val="none" w:sz="0" w:space="0" w:color="auto"/>
      </w:divBdr>
    </w:div>
    <w:div w:id="584531751">
      <w:bodyDiv w:val="1"/>
      <w:marLeft w:val="0"/>
      <w:marRight w:val="0"/>
      <w:marTop w:val="0"/>
      <w:marBottom w:val="0"/>
      <w:divBdr>
        <w:top w:val="none" w:sz="0" w:space="0" w:color="auto"/>
        <w:left w:val="none" w:sz="0" w:space="0" w:color="auto"/>
        <w:bottom w:val="none" w:sz="0" w:space="0" w:color="auto"/>
        <w:right w:val="none" w:sz="0" w:space="0" w:color="auto"/>
      </w:divBdr>
    </w:div>
    <w:div w:id="591550176">
      <w:bodyDiv w:val="1"/>
      <w:marLeft w:val="0"/>
      <w:marRight w:val="0"/>
      <w:marTop w:val="0"/>
      <w:marBottom w:val="0"/>
      <w:divBdr>
        <w:top w:val="none" w:sz="0" w:space="0" w:color="auto"/>
        <w:left w:val="none" w:sz="0" w:space="0" w:color="auto"/>
        <w:bottom w:val="none" w:sz="0" w:space="0" w:color="auto"/>
        <w:right w:val="none" w:sz="0" w:space="0" w:color="auto"/>
      </w:divBdr>
    </w:div>
    <w:div w:id="687025977">
      <w:bodyDiv w:val="1"/>
      <w:marLeft w:val="0"/>
      <w:marRight w:val="0"/>
      <w:marTop w:val="0"/>
      <w:marBottom w:val="0"/>
      <w:divBdr>
        <w:top w:val="none" w:sz="0" w:space="0" w:color="auto"/>
        <w:left w:val="none" w:sz="0" w:space="0" w:color="auto"/>
        <w:bottom w:val="none" w:sz="0" w:space="0" w:color="auto"/>
        <w:right w:val="none" w:sz="0" w:space="0" w:color="auto"/>
      </w:divBdr>
    </w:div>
    <w:div w:id="698090377">
      <w:bodyDiv w:val="1"/>
      <w:marLeft w:val="0"/>
      <w:marRight w:val="0"/>
      <w:marTop w:val="0"/>
      <w:marBottom w:val="0"/>
      <w:divBdr>
        <w:top w:val="none" w:sz="0" w:space="0" w:color="auto"/>
        <w:left w:val="none" w:sz="0" w:space="0" w:color="auto"/>
        <w:bottom w:val="none" w:sz="0" w:space="0" w:color="auto"/>
        <w:right w:val="none" w:sz="0" w:space="0" w:color="auto"/>
      </w:divBdr>
    </w:div>
    <w:div w:id="744911324">
      <w:bodyDiv w:val="1"/>
      <w:marLeft w:val="0"/>
      <w:marRight w:val="0"/>
      <w:marTop w:val="0"/>
      <w:marBottom w:val="0"/>
      <w:divBdr>
        <w:top w:val="none" w:sz="0" w:space="0" w:color="auto"/>
        <w:left w:val="none" w:sz="0" w:space="0" w:color="auto"/>
        <w:bottom w:val="none" w:sz="0" w:space="0" w:color="auto"/>
        <w:right w:val="none" w:sz="0" w:space="0" w:color="auto"/>
      </w:divBdr>
    </w:div>
    <w:div w:id="746145424">
      <w:bodyDiv w:val="1"/>
      <w:marLeft w:val="0"/>
      <w:marRight w:val="0"/>
      <w:marTop w:val="0"/>
      <w:marBottom w:val="0"/>
      <w:divBdr>
        <w:top w:val="none" w:sz="0" w:space="0" w:color="auto"/>
        <w:left w:val="none" w:sz="0" w:space="0" w:color="auto"/>
        <w:bottom w:val="none" w:sz="0" w:space="0" w:color="auto"/>
        <w:right w:val="none" w:sz="0" w:space="0" w:color="auto"/>
      </w:divBdr>
    </w:div>
    <w:div w:id="758524228">
      <w:bodyDiv w:val="1"/>
      <w:marLeft w:val="0"/>
      <w:marRight w:val="0"/>
      <w:marTop w:val="0"/>
      <w:marBottom w:val="0"/>
      <w:divBdr>
        <w:top w:val="none" w:sz="0" w:space="0" w:color="auto"/>
        <w:left w:val="none" w:sz="0" w:space="0" w:color="auto"/>
        <w:bottom w:val="none" w:sz="0" w:space="0" w:color="auto"/>
        <w:right w:val="none" w:sz="0" w:space="0" w:color="auto"/>
      </w:divBdr>
    </w:div>
    <w:div w:id="782649792">
      <w:bodyDiv w:val="1"/>
      <w:marLeft w:val="0"/>
      <w:marRight w:val="0"/>
      <w:marTop w:val="0"/>
      <w:marBottom w:val="0"/>
      <w:divBdr>
        <w:top w:val="none" w:sz="0" w:space="0" w:color="auto"/>
        <w:left w:val="none" w:sz="0" w:space="0" w:color="auto"/>
        <w:bottom w:val="none" w:sz="0" w:space="0" w:color="auto"/>
        <w:right w:val="none" w:sz="0" w:space="0" w:color="auto"/>
      </w:divBdr>
    </w:div>
    <w:div w:id="959803356">
      <w:bodyDiv w:val="1"/>
      <w:marLeft w:val="0"/>
      <w:marRight w:val="0"/>
      <w:marTop w:val="0"/>
      <w:marBottom w:val="0"/>
      <w:divBdr>
        <w:top w:val="none" w:sz="0" w:space="0" w:color="auto"/>
        <w:left w:val="none" w:sz="0" w:space="0" w:color="auto"/>
        <w:bottom w:val="none" w:sz="0" w:space="0" w:color="auto"/>
        <w:right w:val="none" w:sz="0" w:space="0" w:color="auto"/>
      </w:divBdr>
    </w:div>
    <w:div w:id="964576090">
      <w:bodyDiv w:val="1"/>
      <w:marLeft w:val="0"/>
      <w:marRight w:val="0"/>
      <w:marTop w:val="0"/>
      <w:marBottom w:val="0"/>
      <w:divBdr>
        <w:top w:val="none" w:sz="0" w:space="0" w:color="auto"/>
        <w:left w:val="none" w:sz="0" w:space="0" w:color="auto"/>
        <w:bottom w:val="none" w:sz="0" w:space="0" w:color="auto"/>
        <w:right w:val="none" w:sz="0" w:space="0" w:color="auto"/>
      </w:divBdr>
    </w:div>
    <w:div w:id="969481476">
      <w:bodyDiv w:val="1"/>
      <w:marLeft w:val="0"/>
      <w:marRight w:val="0"/>
      <w:marTop w:val="0"/>
      <w:marBottom w:val="0"/>
      <w:divBdr>
        <w:top w:val="none" w:sz="0" w:space="0" w:color="auto"/>
        <w:left w:val="none" w:sz="0" w:space="0" w:color="auto"/>
        <w:bottom w:val="none" w:sz="0" w:space="0" w:color="auto"/>
        <w:right w:val="none" w:sz="0" w:space="0" w:color="auto"/>
      </w:divBdr>
    </w:div>
    <w:div w:id="1051684861">
      <w:bodyDiv w:val="1"/>
      <w:marLeft w:val="0"/>
      <w:marRight w:val="0"/>
      <w:marTop w:val="0"/>
      <w:marBottom w:val="0"/>
      <w:divBdr>
        <w:top w:val="none" w:sz="0" w:space="0" w:color="auto"/>
        <w:left w:val="none" w:sz="0" w:space="0" w:color="auto"/>
        <w:bottom w:val="none" w:sz="0" w:space="0" w:color="auto"/>
        <w:right w:val="none" w:sz="0" w:space="0" w:color="auto"/>
      </w:divBdr>
    </w:div>
    <w:div w:id="1080444497">
      <w:bodyDiv w:val="1"/>
      <w:marLeft w:val="0"/>
      <w:marRight w:val="0"/>
      <w:marTop w:val="0"/>
      <w:marBottom w:val="0"/>
      <w:divBdr>
        <w:top w:val="none" w:sz="0" w:space="0" w:color="auto"/>
        <w:left w:val="none" w:sz="0" w:space="0" w:color="auto"/>
        <w:bottom w:val="none" w:sz="0" w:space="0" w:color="auto"/>
        <w:right w:val="none" w:sz="0" w:space="0" w:color="auto"/>
      </w:divBdr>
    </w:div>
    <w:div w:id="1163164477">
      <w:bodyDiv w:val="1"/>
      <w:marLeft w:val="0"/>
      <w:marRight w:val="0"/>
      <w:marTop w:val="0"/>
      <w:marBottom w:val="0"/>
      <w:divBdr>
        <w:top w:val="none" w:sz="0" w:space="0" w:color="auto"/>
        <w:left w:val="none" w:sz="0" w:space="0" w:color="auto"/>
        <w:bottom w:val="none" w:sz="0" w:space="0" w:color="auto"/>
        <w:right w:val="none" w:sz="0" w:space="0" w:color="auto"/>
      </w:divBdr>
    </w:div>
    <w:div w:id="1177309922">
      <w:bodyDiv w:val="1"/>
      <w:marLeft w:val="0"/>
      <w:marRight w:val="0"/>
      <w:marTop w:val="0"/>
      <w:marBottom w:val="0"/>
      <w:divBdr>
        <w:top w:val="none" w:sz="0" w:space="0" w:color="auto"/>
        <w:left w:val="none" w:sz="0" w:space="0" w:color="auto"/>
        <w:bottom w:val="none" w:sz="0" w:space="0" w:color="auto"/>
        <w:right w:val="none" w:sz="0" w:space="0" w:color="auto"/>
      </w:divBdr>
    </w:div>
    <w:div w:id="1178152087">
      <w:bodyDiv w:val="1"/>
      <w:marLeft w:val="0"/>
      <w:marRight w:val="0"/>
      <w:marTop w:val="0"/>
      <w:marBottom w:val="0"/>
      <w:divBdr>
        <w:top w:val="none" w:sz="0" w:space="0" w:color="auto"/>
        <w:left w:val="none" w:sz="0" w:space="0" w:color="auto"/>
        <w:bottom w:val="none" w:sz="0" w:space="0" w:color="auto"/>
        <w:right w:val="none" w:sz="0" w:space="0" w:color="auto"/>
      </w:divBdr>
    </w:div>
    <w:div w:id="1178277202">
      <w:bodyDiv w:val="1"/>
      <w:marLeft w:val="0"/>
      <w:marRight w:val="0"/>
      <w:marTop w:val="0"/>
      <w:marBottom w:val="0"/>
      <w:divBdr>
        <w:top w:val="none" w:sz="0" w:space="0" w:color="auto"/>
        <w:left w:val="none" w:sz="0" w:space="0" w:color="auto"/>
        <w:bottom w:val="none" w:sz="0" w:space="0" w:color="auto"/>
        <w:right w:val="none" w:sz="0" w:space="0" w:color="auto"/>
      </w:divBdr>
    </w:div>
    <w:div w:id="1214266746">
      <w:bodyDiv w:val="1"/>
      <w:marLeft w:val="0"/>
      <w:marRight w:val="0"/>
      <w:marTop w:val="0"/>
      <w:marBottom w:val="0"/>
      <w:divBdr>
        <w:top w:val="none" w:sz="0" w:space="0" w:color="auto"/>
        <w:left w:val="none" w:sz="0" w:space="0" w:color="auto"/>
        <w:bottom w:val="none" w:sz="0" w:space="0" w:color="auto"/>
        <w:right w:val="none" w:sz="0" w:space="0" w:color="auto"/>
      </w:divBdr>
    </w:div>
    <w:div w:id="1224098946">
      <w:bodyDiv w:val="1"/>
      <w:marLeft w:val="0"/>
      <w:marRight w:val="0"/>
      <w:marTop w:val="0"/>
      <w:marBottom w:val="0"/>
      <w:divBdr>
        <w:top w:val="none" w:sz="0" w:space="0" w:color="auto"/>
        <w:left w:val="none" w:sz="0" w:space="0" w:color="auto"/>
        <w:bottom w:val="none" w:sz="0" w:space="0" w:color="auto"/>
        <w:right w:val="none" w:sz="0" w:space="0" w:color="auto"/>
      </w:divBdr>
    </w:div>
    <w:div w:id="1236818239">
      <w:bodyDiv w:val="1"/>
      <w:marLeft w:val="0"/>
      <w:marRight w:val="0"/>
      <w:marTop w:val="0"/>
      <w:marBottom w:val="0"/>
      <w:divBdr>
        <w:top w:val="none" w:sz="0" w:space="0" w:color="auto"/>
        <w:left w:val="none" w:sz="0" w:space="0" w:color="auto"/>
        <w:bottom w:val="none" w:sz="0" w:space="0" w:color="auto"/>
        <w:right w:val="none" w:sz="0" w:space="0" w:color="auto"/>
      </w:divBdr>
    </w:div>
    <w:div w:id="1280452906">
      <w:bodyDiv w:val="1"/>
      <w:marLeft w:val="0"/>
      <w:marRight w:val="0"/>
      <w:marTop w:val="0"/>
      <w:marBottom w:val="0"/>
      <w:divBdr>
        <w:top w:val="none" w:sz="0" w:space="0" w:color="auto"/>
        <w:left w:val="none" w:sz="0" w:space="0" w:color="auto"/>
        <w:bottom w:val="none" w:sz="0" w:space="0" w:color="auto"/>
        <w:right w:val="none" w:sz="0" w:space="0" w:color="auto"/>
      </w:divBdr>
    </w:div>
    <w:div w:id="1327248064">
      <w:bodyDiv w:val="1"/>
      <w:marLeft w:val="0"/>
      <w:marRight w:val="0"/>
      <w:marTop w:val="0"/>
      <w:marBottom w:val="0"/>
      <w:divBdr>
        <w:top w:val="none" w:sz="0" w:space="0" w:color="auto"/>
        <w:left w:val="none" w:sz="0" w:space="0" w:color="auto"/>
        <w:bottom w:val="none" w:sz="0" w:space="0" w:color="auto"/>
        <w:right w:val="none" w:sz="0" w:space="0" w:color="auto"/>
      </w:divBdr>
    </w:div>
    <w:div w:id="1328052862">
      <w:bodyDiv w:val="1"/>
      <w:marLeft w:val="0"/>
      <w:marRight w:val="0"/>
      <w:marTop w:val="0"/>
      <w:marBottom w:val="0"/>
      <w:divBdr>
        <w:top w:val="none" w:sz="0" w:space="0" w:color="auto"/>
        <w:left w:val="none" w:sz="0" w:space="0" w:color="auto"/>
        <w:bottom w:val="none" w:sz="0" w:space="0" w:color="auto"/>
        <w:right w:val="none" w:sz="0" w:space="0" w:color="auto"/>
      </w:divBdr>
    </w:div>
    <w:div w:id="1382244519">
      <w:bodyDiv w:val="1"/>
      <w:marLeft w:val="0"/>
      <w:marRight w:val="0"/>
      <w:marTop w:val="0"/>
      <w:marBottom w:val="0"/>
      <w:divBdr>
        <w:top w:val="none" w:sz="0" w:space="0" w:color="auto"/>
        <w:left w:val="none" w:sz="0" w:space="0" w:color="auto"/>
        <w:bottom w:val="none" w:sz="0" w:space="0" w:color="auto"/>
        <w:right w:val="none" w:sz="0" w:space="0" w:color="auto"/>
      </w:divBdr>
    </w:div>
    <w:div w:id="1399741285">
      <w:bodyDiv w:val="1"/>
      <w:marLeft w:val="0"/>
      <w:marRight w:val="0"/>
      <w:marTop w:val="0"/>
      <w:marBottom w:val="0"/>
      <w:divBdr>
        <w:top w:val="none" w:sz="0" w:space="0" w:color="auto"/>
        <w:left w:val="none" w:sz="0" w:space="0" w:color="auto"/>
        <w:bottom w:val="none" w:sz="0" w:space="0" w:color="auto"/>
        <w:right w:val="none" w:sz="0" w:space="0" w:color="auto"/>
      </w:divBdr>
    </w:div>
    <w:div w:id="1460413180">
      <w:bodyDiv w:val="1"/>
      <w:marLeft w:val="0"/>
      <w:marRight w:val="0"/>
      <w:marTop w:val="0"/>
      <w:marBottom w:val="0"/>
      <w:divBdr>
        <w:top w:val="none" w:sz="0" w:space="0" w:color="auto"/>
        <w:left w:val="none" w:sz="0" w:space="0" w:color="auto"/>
        <w:bottom w:val="none" w:sz="0" w:space="0" w:color="auto"/>
        <w:right w:val="none" w:sz="0" w:space="0" w:color="auto"/>
      </w:divBdr>
    </w:div>
    <w:div w:id="1509177992">
      <w:bodyDiv w:val="1"/>
      <w:marLeft w:val="0"/>
      <w:marRight w:val="0"/>
      <w:marTop w:val="0"/>
      <w:marBottom w:val="0"/>
      <w:divBdr>
        <w:top w:val="none" w:sz="0" w:space="0" w:color="auto"/>
        <w:left w:val="none" w:sz="0" w:space="0" w:color="auto"/>
        <w:bottom w:val="none" w:sz="0" w:space="0" w:color="auto"/>
        <w:right w:val="none" w:sz="0" w:space="0" w:color="auto"/>
      </w:divBdr>
    </w:div>
    <w:div w:id="1522695687">
      <w:bodyDiv w:val="1"/>
      <w:marLeft w:val="0"/>
      <w:marRight w:val="0"/>
      <w:marTop w:val="0"/>
      <w:marBottom w:val="0"/>
      <w:divBdr>
        <w:top w:val="none" w:sz="0" w:space="0" w:color="auto"/>
        <w:left w:val="none" w:sz="0" w:space="0" w:color="auto"/>
        <w:bottom w:val="none" w:sz="0" w:space="0" w:color="auto"/>
        <w:right w:val="none" w:sz="0" w:space="0" w:color="auto"/>
      </w:divBdr>
    </w:div>
    <w:div w:id="1677924538">
      <w:bodyDiv w:val="1"/>
      <w:marLeft w:val="0"/>
      <w:marRight w:val="0"/>
      <w:marTop w:val="0"/>
      <w:marBottom w:val="0"/>
      <w:divBdr>
        <w:top w:val="none" w:sz="0" w:space="0" w:color="auto"/>
        <w:left w:val="none" w:sz="0" w:space="0" w:color="auto"/>
        <w:bottom w:val="none" w:sz="0" w:space="0" w:color="auto"/>
        <w:right w:val="none" w:sz="0" w:space="0" w:color="auto"/>
      </w:divBdr>
    </w:div>
    <w:div w:id="1685742519">
      <w:bodyDiv w:val="1"/>
      <w:marLeft w:val="0"/>
      <w:marRight w:val="0"/>
      <w:marTop w:val="0"/>
      <w:marBottom w:val="0"/>
      <w:divBdr>
        <w:top w:val="none" w:sz="0" w:space="0" w:color="auto"/>
        <w:left w:val="none" w:sz="0" w:space="0" w:color="auto"/>
        <w:bottom w:val="none" w:sz="0" w:space="0" w:color="auto"/>
        <w:right w:val="none" w:sz="0" w:space="0" w:color="auto"/>
      </w:divBdr>
    </w:div>
    <w:div w:id="1695693307">
      <w:bodyDiv w:val="1"/>
      <w:marLeft w:val="0"/>
      <w:marRight w:val="0"/>
      <w:marTop w:val="0"/>
      <w:marBottom w:val="0"/>
      <w:divBdr>
        <w:top w:val="none" w:sz="0" w:space="0" w:color="auto"/>
        <w:left w:val="none" w:sz="0" w:space="0" w:color="auto"/>
        <w:bottom w:val="none" w:sz="0" w:space="0" w:color="auto"/>
        <w:right w:val="none" w:sz="0" w:space="0" w:color="auto"/>
      </w:divBdr>
    </w:div>
    <w:div w:id="1731927102">
      <w:bodyDiv w:val="1"/>
      <w:marLeft w:val="0"/>
      <w:marRight w:val="0"/>
      <w:marTop w:val="0"/>
      <w:marBottom w:val="0"/>
      <w:divBdr>
        <w:top w:val="none" w:sz="0" w:space="0" w:color="auto"/>
        <w:left w:val="none" w:sz="0" w:space="0" w:color="auto"/>
        <w:bottom w:val="none" w:sz="0" w:space="0" w:color="auto"/>
        <w:right w:val="none" w:sz="0" w:space="0" w:color="auto"/>
      </w:divBdr>
    </w:div>
    <w:div w:id="1732607980">
      <w:bodyDiv w:val="1"/>
      <w:marLeft w:val="0"/>
      <w:marRight w:val="0"/>
      <w:marTop w:val="0"/>
      <w:marBottom w:val="0"/>
      <w:divBdr>
        <w:top w:val="none" w:sz="0" w:space="0" w:color="auto"/>
        <w:left w:val="none" w:sz="0" w:space="0" w:color="auto"/>
        <w:bottom w:val="none" w:sz="0" w:space="0" w:color="auto"/>
        <w:right w:val="none" w:sz="0" w:space="0" w:color="auto"/>
      </w:divBdr>
    </w:div>
    <w:div w:id="1753887536">
      <w:bodyDiv w:val="1"/>
      <w:marLeft w:val="0"/>
      <w:marRight w:val="0"/>
      <w:marTop w:val="0"/>
      <w:marBottom w:val="0"/>
      <w:divBdr>
        <w:top w:val="none" w:sz="0" w:space="0" w:color="auto"/>
        <w:left w:val="none" w:sz="0" w:space="0" w:color="auto"/>
        <w:bottom w:val="none" w:sz="0" w:space="0" w:color="auto"/>
        <w:right w:val="none" w:sz="0" w:space="0" w:color="auto"/>
      </w:divBdr>
    </w:div>
    <w:div w:id="1837961942">
      <w:bodyDiv w:val="1"/>
      <w:marLeft w:val="0"/>
      <w:marRight w:val="0"/>
      <w:marTop w:val="0"/>
      <w:marBottom w:val="0"/>
      <w:divBdr>
        <w:top w:val="none" w:sz="0" w:space="0" w:color="auto"/>
        <w:left w:val="none" w:sz="0" w:space="0" w:color="auto"/>
        <w:bottom w:val="none" w:sz="0" w:space="0" w:color="auto"/>
        <w:right w:val="none" w:sz="0" w:space="0" w:color="auto"/>
      </w:divBdr>
    </w:div>
    <w:div w:id="1838767764">
      <w:bodyDiv w:val="1"/>
      <w:marLeft w:val="0"/>
      <w:marRight w:val="0"/>
      <w:marTop w:val="0"/>
      <w:marBottom w:val="0"/>
      <w:divBdr>
        <w:top w:val="none" w:sz="0" w:space="0" w:color="auto"/>
        <w:left w:val="none" w:sz="0" w:space="0" w:color="auto"/>
        <w:bottom w:val="none" w:sz="0" w:space="0" w:color="auto"/>
        <w:right w:val="none" w:sz="0" w:space="0" w:color="auto"/>
      </w:divBdr>
    </w:div>
    <w:div w:id="1875380763">
      <w:bodyDiv w:val="1"/>
      <w:marLeft w:val="0"/>
      <w:marRight w:val="0"/>
      <w:marTop w:val="0"/>
      <w:marBottom w:val="0"/>
      <w:divBdr>
        <w:top w:val="none" w:sz="0" w:space="0" w:color="auto"/>
        <w:left w:val="none" w:sz="0" w:space="0" w:color="auto"/>
        <w:bottom w:val="none" w:sz="0" w:space="0" w:color="auto"/>
        <w:right w:val="none" w:sz="0" w:space="0" w:color="auto"/>
      </w:divBdr>
    </w:div>
    <w:div w:id="1923904463">
      <w:bodyDiv w:val="1"/>
      <w:marLeft w:val="0"/>
      <w:marRight w:val="0"/>
      <w:marTop w:val="0"/>
      <w:marBottom w:val="0"/>
      <w:divBdr>
        <w:top w:val="none" w:sz="0" w:space="0" w:color="auto"/>
        <w:left w:val="none" w:sz="0" w:space="0" w:color="auto"/>
        <w:bottom w:val="none" w:sz="0" w:space="0" w:color="auto"/>
        <w:right w:val="none" w:sz="0" w:space="0" w:color="auto"/>
      </w:divBdr>
    </w:div>
    <w:div w:id="1963681639">
      <w:bodyDiv w:val="1"/>
      <w:marLeft w:val="0"/>
      <w:marRight w:val="0"/>
      <w:marTop w:val="0"/>
      <w:marBottom w:val="0"/>
      <w:divBdr>
        <w:top w:val="none" w:sz="0" w:space="0" w:color="auto"/>
        <w:left w:val="none" w:sz="0" w:space="0" w:color="auto"/>
        <w:bottom w:val="none" w:sz="0" w:space="0" w:color="auto"/>
        <w:right w:val="none" w:sz="0" w:space="0" w:color="auto"/>
      </w:divBdr>
    </w:div>
    <w:div w:id="1972781460">
      <w:bodyDiv w:val="1"/>
      <w:marLeft w:val="0"/>
      <w:marRight w:val="0"/>
      <w:marTop w:val="0"/>
      <w:marBottom w:val="0"/>
      <w:divBdr>
        <w:top w:val="none" w:sz="0" w:space="0" w:color="auto"/>
        <w:left w:val="none" w:sz="0" w:space="0" w:color="auto"/>
        <w:bottom w:val="none" w:sz="0" w:space="0" w:color="auto"/>
        <w:right w:val="none" w:sz="0" w:space="0" w:color="auto"/>
      </w:divBdr>
    </w:div>
    <w:div w:id="1976985772">
      <w:bodyDiv w:val="1"/>
      <w:marLeft w:val="0"/>
      <w:marRight w:val="0"/>
      <w:marTop w:val="0"/>
      <w:marBottom w:val="0"/>
      <w:divBdr>
        <w:top w:val="none" w:sz="0" w:space="0" w:color="auto"/>
        <w:left w:val="none" w:sz="0" w:space="0" w:color="auto"/>
        <w:bottom w:val="none" w:sz="0" w:space="0" w:color="auto"/>
        <w:right w:val="none" w:sz="0" w:space="0" w:color="auto"/>
      </w:divBdr>
    </w:div>
    <w:div w:id="1979142604">
      <w:bodyDiv w:val="1"/>
      <w:marLeft w:val="0"/>
      <w:marRight w:val="0"/>
      <w:marTop w:val="0"/>
      <w:marBottom w:val="0"/>
      <w:divBdr>
        <w:top w:val="none" w:sz="0" w:space="0" w:color="auto"/>
        <w:left w:val="none" w:sz="0" w:space="0" w:color="auto"/>
        <w:bottom w:val="none" w:sz="0" w:space="0" w:color="auto"/>
        <w:right w:val="none" w:sz="0" w:space="0" w:color="auto"/>
      </w:divBdr>
    </w:div>
    <w:div w:id="199394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8CE1A-A226-4CDA-9499-9D1595508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6</Pages>
  <Words>2794</Words>
  <Characters>15927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Derbyshire County Council</Company>
  <LinksUpToDate>false</LinksUpToDate>
  <CharactersWithSpaces>18684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Allcock</dc:creator>
  <cp:lastModifiedBy>Jo Armstrong</cp:lastModifiedBy>
  <cp:revision>18</cp:revision>
  <cp:lastPrinted>2017-12-05T15:17:00Z</cp:lastPrinted>
  <dcterms:created xsi:type="dcterms:W3CDTF">2017-12-05T14:24:00Z</dcterms:created>
  <dcterms:modified xsi:type="dcterms:W3CDTF">2017-12-19T14:31:41Z</dcterms:modified>
  <dc:title>Rep 723 Schools Forum Dec 2017 Responses to mainstream consultation</dc:title>
  <cp:keywords>
  </cp:keywords>
  <dc:subject>
  </dc:subject>
</cp:coreProperties>
</file>