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25ECD25" wp14:anchorId="3D813F1B">
                <wp:simplePos x="0" y="0"/>
                <wp:positionH relativeFrom="column">
                  <wp:posOffset>4893310</wp:posOffset>
                </wp:positionH>
                <wp:positionV relativeFrom="paragraph">
                  <wp:posOffset>15240</wp:posOffset>
                </wp:positionV>
                <wp:extent cx="1714500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AF3717" w:rsidP="00503550" w:rsidRDefault="00AF3717">
                            <w:pPr>
                              <w:ind w:left="567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Agenda Item</w:t>
                            </w:r>
                            <w:r w:rsidR="00BA51C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8</w:t>
                            </w: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D813F1B">
                <v:stroke joinstyle="miter"/>
                <v:path gradientshapeok="t" o:connecttype="rect"/>
              </v:shapetype>
              <v:shape id="Text Box 2" style="position:absolute;left:0;text-align:left;margin-left:385.3pt;margin-top:1.2pt;width:13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">
                <v:textbox style="mso-fit-shape-to-text:t">
                  <w:txbxContent>
                    <w:p w:rsidRPr="00345979" w:rsidR="00AF3717" w:rsidP="00503550" w:rsidRDefault="00AF3717">
                      <w:pPr>
                        <w:ind w:left="567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Agenda Item</w:t>
                      </w:r>
                      <w:r w:rsidR="00BA51C9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8</w:t>
                      </w: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b/>
          <w:noProof/>
          <w:sz w:val="26"/>
          <w:szCs w:val="26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16BD76A7" wp14:anchorId="29F0D23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0043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345979" w:rsidR="00AF3717" w:rsidP="007C57E2" w:rsidRDefault="00AF3717">
                            <w:pP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345979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Rep 7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2</w:t>
                            </w:r>
                            <w:r w:rsidR="00F146EF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style="position:absolute;left:0;text-align:left;margin-left:0;margin-top:-.05pt;width:7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" w14:anchorId="29F0D238">
                <v:textbox style="mso-fit-shape-to-text:t">
                  <w:txbxContent>
                    <w:p w:rsidRPr="00345979" w:rsidR="00AF3717" w:rsidP="007C57E2" w:rsidRDefault="00AF3717">
                      <w:pPr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345979">
                        <w:rPr>
                          <w:rFonts w:ascii="Arial" w:hAnsi="Arial" w:cs="Arial"/>
                          <w:sz w:val="26"/>
                          <w:szCs w:val="26"/>
                        </w:rPr>
                        <w:t>Rep 7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2</w:t>
                      </w:r>
                      <w:r w:rsidR="00F146EF">
                        <w:rPr>
                          <w:rFonts w:ascii="Arial" w:hAnsi="Arial" w:cs="Arial"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73565">
        <w:rPr>
          <w:rFonts w:ascii="Arial" w:hAnsi="Arial" w:cs="Arial"/>
          <w:sz w:val="26"/>
          <w:szCs w:val="26"/>
          <w:u w:val="single"/>
        </w:rPr>
        <w:t>DERBYSHIRE COUNTY COUNCIL</w:t>
      </w:r>
    </w:p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SCHOOL</w:t>
      </w:r>
      <w:r>
        <w:rPr>
          <w:rFonts w:ascii="Arial" w:hAnsi="Arial" w:cs="Arial"/>
          <w:sz w:val="26"/>
          <w:szCs w:val="26"/>
          <w:u w:val="single"/>
        </w:rPr>
        <w:t>S</w:t>
      </w:r>
      <w:r w:rsidRPr="00173565">
        <w:rPr>
          <w:rFonts w:ascii="Arial" w:hAnsi="Arial" w:cs="Arial"/>
          <w:sz w:val="26"/>
          <w:szCs w:val="26"/>
          <w:u w:val="single"/>
        </w:rPr>
        <w:t xml:space="preserve"> FORUM</w:t>
      </w:r>
    </w:p>
    <w:p w:rsidRPr="00173565" w:rsidR="007C57E2" w:rsidP="007C57E2" w:rsidRDefault="002E3E7B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 xml:space="preserve">14 December </w:t>
      </w:r>
      <w:r w:rsidRPr="00173565" w:rsidR="007C57E2">
        <w:rPr>
          <w:rFonts w:ascii="Arial" w:hAnsi="Arial" w:cs="Arial"/>
          <w:sz w:val="26"/>
          <w:szCs w:val="26"/>
          <w:u w:val="single"/>
        </w:rPr>
        <w:t>2017</w:t>
      </w:r>
    </w:p>
    <w:p w:rsidRPr="00173565" w:rsidR="007C57E2" w:rsidP="007C57E2" w:rsidRDefault="007C57E2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Report of the Strategic Director for Children’s Services</w:t>
      </w:r>
      <w:bookmarkStart w:name="_GoBack" w:id="0"/>
      <w:bookmarkEnd w:id="0"/>
    </w:p>
    <w:p w:rsidR="007C57E2" w:rsidP="007C57E2" w:rsidRDefault="00F146EF">
      <w:pPr>
        <w:spacing w:after="120" w:line="240" w:lineRule="auto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Central School Services Block (CSSB)</w:t>
      </w:r>
    </w:p>
    <w:p w:rsidRPr="00173565" w:rsidR="007C57E2" w:rsidP="00D809BE" w:rsidRDefault="007C57E2">
      <w:pPr>
        <w:pStyle w:val="ListParagraph"/>
        <w:numPr>
          <w:ilvl w:val="0"/>
          <w:numId w:val="1"/>
        </w:numPr>
        <w:spacing w:after="0" w:line="240" w:lineRule="auto"/>
        <w:ind w:left="1560" w:hanging="1276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Purpose of the Report</w:t>
      </w:r>
    </w:p>
    <w:p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715CAF" w:rsidP="00715CAF" w:rsidRDefault="006A5091">
      <w:pPr>
        <w:pStyle w:val="ListParagraph"/>
        <w:spacing w:after="0" w:line="240" w:lineRule="auto"/>
        <w:ind w:left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To seek Schools Forum </w:t>
      </w:r>
      <w:r w:rsidR="00715CAF">
        <w:rPr>
          <w:rFonts w:ascii="Arial" w:hAnsi="Arial" w:cs="Arial"/>
          <w:sz w:val="26"/>
          <w:szCs w:val="26"/>
        </w:rPr>
        <w:t>approval to the Central School Services Block allocations for 2018-19.</w:t>
      </w:r>
    </w:p>
    <w:p w:rsidR="006A5091" w:rsidP="007C57E2" w:rsidRDefault="006A5091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7C57E2" w:rsidP="00D809BE" w:rsidRDefault="007C57E2">
      <w:pPr>
        <w:pStyle w:val="ListParagraph"/>
        <w:numPr>
          <w:ilvl w:val="0"/>
          <w:numId w:val="1"/>
        </w:numPr>
        <w:spacing w:after="0" w:line="240" w:lineRule="auto"/>
        <w:ind w:left="1418" w:hanging="1134"/>
        <w:rPr>
          <w:rFonts w:ascii="Arial" w:hAnsi="Arial" w:cs="Arial"/>
          <w:sz w:val="26"/>
          <w:szCs w:val="26"/>
          <w:u w:val="single"/>
        </w:rPr>
      </w:pPr>
      <w:r w:rsidRPr="00173565">
        <w:rPr>
          <w:rFonts w:ascii="Arial" w:hAnsi="Arial" w:cs="Arial"/>
          <w:sz w:val="26"/>
          <w:szCs w:val="26"/>
          <w:u w:val="single"/>
        </w:rPr>
        <w:t>Information and Analysis</w:t>
      </w:r>
    </w:p>
    <w:p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="00715CAF" w:rsidP="00715CAF" w:rsidRDefault="00715CAF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227C4E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>C</w:t>
      </w:r>
      <w:r w:rsidRPr="00227C4E">
        <w:rPr>
          <w:rFonts w:ascii="Arial" w:hAnsi="Arial" w:cs="Arial"/>
          <w:sz w:val="26"/>
          <w:szCs w:val="26"/>
        </w:rPr>
        <w:t xml:space="preserve">entral </w:t>
      </w:r>
      <w:r>
        <w:rPr>
          <w:rFonts w:ascii="Arial" w:hAnsi="Arial" w:cs="Arial"/>
          <w:sz w:val="26"/>
          <w:szCs w:val="26"/>
        </w:rPr>
        <w:t>S</w:t>
      </w:r>
      <w:r w:rsidRPr="00227C4E">
        <w:rPr>
          <w:rFonts w:ascii="Arial" w:hAnsi="Arial" w:cs="Arial"/>
          <w:sz w:val="26"/>
          <w:szCs w:val="26"/>
        </w:rPr>
        <w:t xml:space="preserve">chool </w:t>
      </w:r>
      <w:r>
        <w:rPr>
          <w:rFonts w:ascii="Arial" w:hAnsi="Arial" w:cs="Arial"/>
          <w:sz w:val="26"/>
          <w:szCs w:val="26"/>
        </w:rPr>
        <w:t>S</w:t>
      </w:r>
      <w:r w:rsidRPr="00227C4E">
        <w:rPr>
          <w:rFonts w:ascii="Arial" w:hAnsi="Arial" w:cs="Arial"/>
          <w:sz w:val="26"/>
          <w:szCs w:val="26"/>
        </w:rPr>
        <w:t xml:space="preserve">ervices </w:t>
      </w:r>
      <w:r>
        <w:rPr>
          <w:rFonts w:ascii="Arial" w:hAnsi="Arial" w:cs="Arial"/>
          <w:sz w:val="26"/>
          <w:szCs w:val="26"/>
        </w:rPr>
        <w:t>B</w:t>
      </w:r>
      <w:r w:rsidRPr="00227C4E">
        <w:rPr>
          <w:rFonts w:ascii="Arial" w:hAnsi="Arial" w:cs="Arial"/>
          <w:sz w:val="26"/>
          <w:szCs w:val="26"/>
        </w:rPr>
        <w:t>lock (CSSB) will be introduced in 2018</w:t>
      </w:r>
      <w:r>
        <w:rPr>
          <w:rFonts w:ascii="Arial" w:hAnsi="Arial" w:cs="Arial"/>
          <w:sz w:val="26"/>
          <w:szCs w:val="26"/>
        </w:rPr>
        <w:t xml:space="preserve">-19 </w:t>
      </w:r>
      <w:r w:rsidRPr="00227C4E">
        <w:rPr>
          <w:rFonts w:ascii="Arial" w:hAnsi="Arial" w:cs="Arial"/>
          <w:sz w:val="26"/>
          <w:szCs w:val="26"/>
        </w:rPr>
        <w:t>to fund local authorities for the statutory duties that they hold for both maintained schools and academies. The CSSB brings together:</w:t>
      </w:r>
    </w:p>
    <w:p w:rsidRPr="00227C4E" w:rsidR="00715CAF" w:rsidP="00715CAF" w:rsidRDefault="00715CAF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Pr="00227C4E" w:rsidR="00715CAF" w:rsidP="00715CAF" w:rsidRDefault="00715CAF">
      <w:pPr>
        <w:numPr>
          <w:ilvl w:val="0"/>
          <w:numId w:val="20"/>
        </w:numPr>
        <w:spacing w:after="120" w:line="240" w:lineRule="auto"/>
        <w:ind w:left="714" w:hanging="357"/>
        <w:rPr>
          <w:rFonts w:ascii="Arial" w:hAnsi="Arial" w:eastAsia="Times New Roman" w:cs="Arial"/>
          <w:sz w:val="26"/>
          <w:szCs w:val="26"/>
          <w:lang w:val="en" w:eastAsia="en-GB"/>
        </w:rPr>
      </w:pPr>
      <w:r w:rsidRPr="00227C4E">
        <w:rPr>
          <w:rFonts w:ascii="Arial" w:hAnsi="Arial" w:eastAsia="Times New Roman" w:cs="Arial"/>
          <w:sz w:val="26"/>
          <w:szCs w:val="26"/>
          <w:lang w:val="en" w:eastAsia="en-GB"/>
        </w:rPr>
        <w:t xml:space="preserve">funding previously allocated through the </w:t>
      </w:r>
      <w:r w:rsidRPr="005D7E22">
        <w:rPr>
          <w:rFonts w:ascii="Arial" w:hAnsi="Arial" w:eastAsia="Times New Roman" w:cs="Arial"/>
          <w:sz w:val="26"/>
          <w:szCs w:val="26"/>
          <w:lang w:val="en" w:eastAsia="en-GB"/>
        </w:rPr>
        <w:t>retained duties</w:t>
      </w:r>
      <w:r w:rsidRPr="00227C4E">
        <w:rPr>
          <w:rFonts w:ascii="Arial" w:hAnsi="Arial" w:eastAsia="Times New Roman" w:cs="Arial"/>
          <w:sz w:val="26"/>
          <w:szCs w:val="26"/>
          <w:lang w:val="en" w:eastAsia="en-GB"/>
        </w:rPr>
        <w:t xml:space="preserve"> element of the </w:t>
      </w:r>
      <w:r w:rsidR="00D028C8">
        <w:rPr>
          <w:rFonts w:ascii="Arial" w:hAnsi="Arial" w:eastAsia="Times New Roman" w:cs="Arial"/>
          <w:sz w:val="26"/>
          <w:szCs w:val="26"/>
          <w:lang w:val="en" w:eastAsia="en-GB"/>
        </w:rPr>
        <w:t xml:space="preserve">former </w:t>
      </w:r>
      <w:r w:rsidRPr="00227C4E">
        <w:rPr>
          <w:rFonts w:ascii="Arial" w:hAnsi="Arial" w:eastAsia="Times New Roman" w:cs="Arial"/>
          <w:sz w:val="26"/>
          <w:szCs w:val="26"/>
          <w:lang w:val="en" w:eastAsia="en-GB"/>
        </w:rPr>
        <w:t>Education Services Grant (ESG)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 – see Appendix 1</w:t>
      </w:r>
      <w:r>
        <w:rPr>
          <w:rFonts w:ascii="Arial" w:hAnsi="Arial" w:eastAsia="Times New Roman" w:cs="Arial"/>
          <w:sz w:val="26"/>
          <w:szCs w:val="26"/>
          <w:lang w:val="en" w:eastAsia="en-GB"/>
        </w:rPr>
        <w:t>;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 and</w:t>
      </w:r>
    </w:p>
    <w:p w:rsidRPr="00227C4E" w:rsidR="00715CAF" w:rsidP="00715CAF" w:rsidRDefault="00715CAF">
      <w:pPr>
        <w:numPr>
          <w:ilvl w:val="0"/>
          <w:numId w:val="20"/>
        </w:numPr>
        <w:spacing w:after="120" w:line="240" w:lineRule="auto"/>
        <w:ind w:left="714" w:hanging="357"/>
        <w:rPr>
          <w:rFonts w:ascii="Arial" w:hAnsi="Arial" w:eastAsia="Times New Roman" w:cs="Arial"/>
          <w:sz w:val="26"/>
          <w:szCs w:val="26"/>
          <w:lang w:val="en" w:eastAsia="en-GB"/>
        </w:rPr>
      </w:pPr>
      <w:r w:rsidRPr="00227C4E">
        <w:rPr>
          <w:rFonts w:ascii="Arial" w:hAnsi="Arial" w:eastAsia="Times New Roman" w:cs="Arial"/>
          <w:sz w:val="26"/>
          <w:szCs w:val="26"/>
          <w:lang w:val="en" w:eastAsia="en-GB"/>
        </w:rPr>
        <w:t>funding for ongoing central functions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 and historic commitments </w:t>
      </w:r>
      <w:r w:rsidRPr="00227C4E"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previously 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held within </w:t>
      </w:r>
      <w:r w:rsidRPr="00227C4E"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the 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>S</w:t>
      </w:r>
      <w:r w:rsidRPr="00227C4E" w:rsidR="00695605">
        <w:rPr>
          <w:rFonts w:ascii="Arial" w:hAnsi="Arial" w:eastAsia="Times New Roman" w:cs="Arial"/>
          <w:sz w:val="26"/>
          <w:szCs w:val="26"/>
          <w:lang w:val="en" w:eastAsia="en-GB"/>
        </w:rPr>
        <w:t xml:space="preserve">chools </w:t>
      </w:r>
      <w:r w:rsidR="00695605">
        <w:rPr>
          <w:rFonts w:ascii="Arial" w:hAnsi="Arial" w:eastAsia="Times New Roman" w:cs="Arial"/>
          <w:sz w:val="26"/>
          <w:szCs w:val="26"/>
          <w:lang w:val="en" w:eastAsia="en-GB"/>
        </w:rPr>
        <w:t>B</w:t>
      </w:r>
      <w:r w:rsidRPr="00227C4E" w:rsidR="00695605">
        <w:rPr>
          <w:rFonts w:ascii="Arial" w:hAnsi="Arial" w:eastAsia="Times New Roman" w:cs="Arial"/>
          <w:sz w:val="26"/>
          <w:szCs w:val="26"/>
          <w:lang w:val="en" w:eastAsia="en-GB"/>
        </w:rPr>
        <w:t>lock</w:t>
      </w:r>
      <w:r w:rsidR="00D809BE">
        <w:rPr>
          <w:rFonts w:ascii="Arial" w:hAnsi="Arial" w:eastAsia="Times New Roman" w:cs="Arial"/>
          <w:sz w:val="26"/>
          <w:szCs w:val="26"/>
          <w:lang w:val="en" w:eastAsia="en-GB"/>
        </w:rPr>
        <w:t>.</w:t>
      </w:r>
    </w:p>
    <w:p w:rsidR="00D809BE" w:rsidP="00715CAF" w:rsidRDefault="00D809BE">
      <w:pPr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Pr="00D809BE" w:rsidR="00D809BE" w:rsidP="00D809BE" w:rsidRDefault="00D809BE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D809BE">
        <w:rPr>
          <w:rFonts w:ascii="Arial" w:hAnsi="Arial" w:cs="Arial"/>
          <w:sz w:val="26"/>
          <w:szCs w:val="26"/>
        </w:rPr>
        <w:t>Where local authorities hold duties in relation to all schools (as set out in Schedule 2, Parts 1 to 5 of the School and Early Years Finance Regulations 2017), all schools must be treated on an equivalent basis.</w:t>
      </w:r>
    </w:p>
    <w:p w:rsidR="00D809BE" w:rsidP="00715CAF" w:rsidRDefault="00D809BE">
      <w:pPr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715CAF" w:rsidP="00715CAF" w:rsidRDefault="00715CAF">
      <w:pPr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baseline central services schools block for Derbyshire for 2017-18 is £4.429m and covers the items</w:t>
      </w:r>
      <w:r w:rsidR="00A246A3">
        <w:rPr>
          <w:rFonts w:ascii="Arial" w:hAnsi="Arial" w:cs="Arial"/>
          <w:sz w:val="26"/>
          <w:szCs w:val="26"/>
        </w:rPr>
        <w:t xml:space="preserve"> in Table 1 below</w:t>
      </w:r>
      <w:r>
        <w:rPr>
          <w:rFonts w:ascii="Arial" w:hAnsi="Arial" w:cs="Arial"/>
          <w:sz w:val="26"/>
          <w:szCs w:val="26"/>
        </w:rPr>
        <w:t>:</w:t>
      </w:r>
    </w:p>
    <w:p w:rsidR="00715CAF" w:rsidP="00715CAF" w:rsidRDefault="00715CA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Pr="00A246A3" w:rsidR="00A246A3" w:rsidP="00A246A3" w:rsidRDefault="00A246A3">
      <w:pPr>
        <w:spacing w:after="0" w:line="240" w:lineRule="auto"/>
        <w:ind w:left="284"/>
        <w:rPr>
          <w:rFonts w:ascii="Arial" w:hAnsi="Arial" w:cs="Arial"/>
          <w:sz w:val="26"/>
          <w:szCs w:val="26"/>
          <w:u w:val="single"/>
        </w:rPr>
      </w:pPr>
      <w:r w:rsidRPr="00A246A3">
        <w:rPr>
          <w:rFonts w:ascii="Arial" w:hAnsi="Arial" w:cs="Arial"/>
          <w:sz w:val="26"/>
          <w:szCs w:val="26"/>
          <w:u w:val="single"/>
        </w:rPr>
        <w:t>Table 1 – Existing central funding (currently within the Schools Block)</w:t>
      </w:r>
    </w:p>
    <w:p w:rsidR="00A246A3" w:rsidP="00715CAF" w:rsidRDefault="00A246A3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673"/>
        <w:gridCol w:w="1322"/>
        <w:gridCol w:w="3352"/>
      </w:tblGrid>
      <w:tr w:rsidR="00715CAF" w:rsidTr="00715CAF">
        <w:trPr>
          <w:trHeight w:val="340" w:hRule="exact"/>
        </w:trPr>
        <w:tc>
          <w:tcPr>
            <w:tcW w:w="4673" w:type="dxa"/>
          </w:tcPr>
          <w:p w:rsidRPr="006266B6" w:rsidR="00715CAF" w:rsidP="002E2BF4" w:rsidRDefault="00715CAF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Item</w:t>
            </w:r>
          </w:p>
        </w:tc>
        <w:tc>
          <w:tcPr>
            <w:tcW w:w="1322" w:type="dxa"/>
          </w:tcPr>
          <w:p w:rsidRPr="006266B6" w:rsidR="00715CAF" w:rsidP="002E2BF4" w:rsidRDefault="00715CAF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£m</w:t>
            </w:r>
          </w:p>
        </w:tc>
        <w:tc>
          <w:tcPr>
            <w:tcW w:w="3352" w:type="dxa"/>
          </w:tcPr>
          <w:p w:rsidRPr="006266B6" w:rsidR="00715CAF" w:rsidP="002E2BF4" w:rsidRDefault="00715C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Note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Pr="006266B6" w:rsidR="00715CAF" w:rsidP="00211C03" w:rsidRDefault="00715CAF">
            <w:pPr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6266B6">
              <w:rPr>
                <w:rFonts w:ascii="Arial" w:hAnsi="Arial" w:cs="Arial"/>
                <w:sz w:val="26"/>
                <w:szCs w:val="26"/>
                <w:u w:val="single"/>
              </w:rPr>
              <w:t xml:space="preserve">Ongoing </w:t>
            </w:r>
            <w:r w:rsidR="00211C03">
              <w:rPr>
                <w:rFonts w:ascii="Arial" w:hAnsi="Arial" w:cs="Arial"/>
                <w:sz w:val="26"/>
                <w:szCs w:val="26"/>
                <w:u w:val="single"/>
              </w:rPr>
              <w:t>responsibilities</w:t>
            </w:r>
          </w:p>
        </w:tc>
        <w:tc>
          <w:tcPr>
            <w:tcW w:w="1322" w:type="dxa"/>
          </w:tcPr>
          <w:p w:rsidRPr="006266B6" w:rsidR="00715CAF" w:rsidP="002E2BF4" w:rsidRDefault="00715CAF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352" w:type="dxa"/>
          </w:tcPr>
          <w:p w:rsidRPr="006266B6" w:rsidR="00715CAF" w:rsidP="002E2BF4" w:rsidRDefault="00715CAF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Pr="006266B6" w:rsidR="00715CAF" w:rsidP="002E2BF4" w:rsidRDefault="00715CAF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Admissions</w:t>
            </w:r>
          </w:p>
        </w:tc>
        <w:tc>
          <w:tcPr>
            <w:tcW w:w="1322" w:type="dxa"/>
          </w:tcPr>
          <w:p w:rsidRPr="006266B6" w:rsidR="00715CAF" w:rsidP="002E2BF4" w:rsidRDefault="00715CAF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0.519</w:t>
            </w:r>
          </w:p>
        </w:tc>
        <w:tc>
          <w:tcPr>
            <w:tcW w:w="3352" w:type="dxa"/>
          </w:tcPr>
          <w:p w:rsidRPr="006266B6" w:rsidR="00715CAF" w:rsidP="002E2BF4" w:rsidRDefault="00715C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Approved S Forum 9/1/17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Pr="006266B6" w:rsidR="00715CAF" w:rsidP="002E2BF4" w:rsidRDefault="00715CAF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Schools Forum</w:t>
            </w:r>
          </w:p>
        </w:tc>
        <w:tc>
          <w:tcPr>
            <w:tcW w:w="1322" w:type="dxa"/>
          </w:tcPr>
          <w:p w:rsidRPr="006266B6" w:rsidR="00715CAF" w:rsidP="002E2BF4" w:rsidRDefault="00715CAF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0.040</w:t>
            </w:r>
          </w:p>
        </w:tc>
        <w:tc>
          <w:tcPr>
            <w:tcW w:w="3352" w:type="dxa"/>
          </w:tcPr>
          <w:p w:rsidRPr="006266B6" w:rsidR="00715CAF" w:rsidP="002E2BF4" w:rsidRDefault="00715C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As above</w:t>
            </w: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Former ESG Retained duties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1.572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As above</w:t>
            </w: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Licences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0.561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Forum approval not req’d</w:t>
            </w: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Sub total – ongoing commitments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2.692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sz w:val="26"/>
                <w:szCs w:val="26"/>
                <w:u w:val="single"/>
              </w:rPr>
              <w:t>Historic commitments</w:t>
            </w:r>
            <w:r w:rsidRPr="006266B6">
              <w:rPr>
                <w:rFonts w:ascii="Arial" w:hAnsi="Arial" w:cs="Arial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Contribution to combined budgets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1.737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Approved S Forum 9/1/17</w:t>
            </w: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Sub</w:t>
            </w:r>
            <w:r>
              <w:rPr>
                <w:rFonts w:ascii="Arial" w:hAnsi="Arial" w:cs="Arial"/>
                <w:sz w:val="26"/>
                <w:szCs w:val="26"/>
              </w:rPr>
              <w:t>-</w:t>
            </w:r>
            <w:r w:rsidRPr="006266B6">
              <w:rPr>
                <w:rFonts w:ascii="Arial" w:hAnsi="Arial" w:cs="Arial"/>
                <w:sz w:val="26"/>
                <w:szCs w:val="26"/>
              </w:rPr>
              <w:t>total – historic commitments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1.737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8634C" w:rsidTr="00715CAF">
        <w:trPr>
          <w:trHeight w:val="340" w:hRule="exact"/>
        </w:trPr>
        <w:tc>
          <w:tcPr>
            <w:tcW w:w="4673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 xml:space="preserve">Total </w:t>
            </w:r>
            <w:r>
              <w:rPr>
                <w:rFonts w:ascii="Arial" w:hAnsi="Arial" w:cs="Arial"/>
                <w:sz w:val="26"/>
                <w:szCs w:val="26"/>
              </w:rPr>
              <w:t>C</w:t>
            </w:r>
            <w:r w:rsidRPr="006266B6">
              <w:rPr>
                <w:rFonts w:ascii="Arial" w:hAnsi="Arial" w:cs="Arial"/>
                <w:sz w:val="26"/>
                <w:szCs w:val="26"/>
              </w:rPr>
              <w:t xml:space="preserve">entral </w:t>
            </w:r>
            <w:r>
              <w:rPr>
                <w:rFonts w:ascii="Arial" w:hAnsi="Arial" w:cs="Arial"/>
                <w:sz w:val="26"/>
                <w:szCs w:val="26"/>
              </w:rPr>
              <w:t>S</w:t>
            </w:r>
            <w:r w:rsidRPr="006266B6">
              <w:rPr>
                <w:rFonts w:ascii="Arial" w:hAnsi="Arial" w:cs="Arial"/>
                <w:sz w:val="26"/>
                <w:szCs w:val="26"/>
              </w:rPr>
              <w:t xml:space="preserve">ervices </w:t>
            </w:r>
            <w:r>
              <w:rPr>
                <w:rFonts w:ascii="Arial" w:hAnsi="Arial" w:cs="Arial"/>
                <w:sz w:val="26"/>
                <w:szCs w:val="26"/>
              </w:rPr>
              <w:t>S</w:t>
            </w:r>
            <w:r w:rsidRPr="006266B6">
              <w:rPr>
                <w:rFonts w:ascii="Arial" w:hAnsi="Arial" w:cs="Arial"/>
                <w:sz w:val="26"/>
                <w:szCs w:val="26"/>
              </w:rPr>
              <w:t xml:space="preserve">chools </w:t>
            </w:r>
            <w:r>
              <w:rPr>
                <w:rFonts w:ascii="Arial" w:hAnsi="Arial" w:cs="Arial"/>
                <w:sz w:val="26"/>
                <w:szCs w:val="26"/>
              </w:rPr>
              <w:t>B</w:t>
            </w:r>
            <w:r w:rsidRPr="006266B6">
              <w:rPr>
                <w:rFonts w:ascii="Arial" w:hAnsi="Arial" w:cs="Arial"/>
                <w:sz w:val="26"/>
                <w:szCs w:val="26"/>
              </w:rPr>
              <w:t>lock</w:t>
            </w:r>
          </w:p>
        </w:tc>
        <w:tc>
          <w:tcPr>
            <w:tcW w:w="1322" w:type="dxa"/>
          </w:tcPr>
          <w:p w:rsidRPr="006266B6" w:rsidR="00F8634C" w:rsidP="00F8634C" w:rsidRDefault="00F8634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266B6">
              <w:rPr>
                <w:rFonts w:ascii="Arial" w:hAnsi="Arial" w:cs="Arial"/>
                <w:sz w:val="26"/>
                <w:szCs w:val="26"/>
              </w:rPr>
              <w:t>4.429</w:t>
            </w:r>
          </w:p>
        </w:tc>
        <w:tc>
          <w:tcPr>
            <w:tcW w:w="3352" w:type="dxa"/>
          </w:tcPr>
          <w:p w:rsidRPr="006266B6" w:rsidR="00F8634C" w:rsidP="00F8634C" w:rsidRDefault="00F8634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715CAF" w:rsidP="00715CAF" w:rsidRDefault="00715CA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15CAF" w:rsidP="00715CAF" w:rsidRDefault="00715CAF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4E1A43">
        <w:rPr>
          <w:rFonts w:ascii="Arial" w:hAnsi="Arial" w:cs="Arial"/>
          <w:sz w:val="26"/>
          <w:szCs w:val="26"/>
        </w:rPr>
        <w:t xml:space="preserve">The National CSSB Formula </w:t>
      </w:r>
      <w:r>
        <w:rPr>
          <w:rFonts w:ascii="Arial" w:hAnsi="Arial" w:cs="Arial"/>
          <w:sz w:val="26"/>
          <w:szCs w:val="26"/>
        </w:rPr>
        <w:t xml:space="preserve">will fund LAs’ ongoing </w:t>
      </w:r>
      <w:r w:rsidR="00211C03">
        <w:rPr>
          <w:rFonts w:ascii="Arial" w:hAnsi="Arial" w:cs="Arial"/>
          <w:sz w:val="26"/>
          <w:szCs w:val="26"/>
        </w:rPr>
        <w:t>responsibilities</w:t>
      </w:r>
      <w:r>
        <w:rPr>
          <w:rFonts w:ascii="Arial" w:hAnsi="Arial" w:cs="Arial"/>
          <w:sz w:val="26"/>
          <w:szCs w:val="26"/>
        </w:rPr>
        <w:t xml:space="preserve"> on the basis of a new formula. LAs will receive £28.84 </w:t>
      </w:r>
      <w:r w:rsidRPr="004E1A43">
        <w:rPr>
          <w:rFonts w:ascii="Arial" w:hAnsi="Arial" w:cs="Arial"/>
          <w:sz w:val="26"/>
          <w:szCs w:val="26"/>
        </w:rPr>
        <w:t xml:space="preserve">per pupil </w:t>
      </w:r>
      <w:r>
        <w:rPr>
          <w:rFonts w:ascii="Arial" w:hAnsi="Arial" w:cs="Arial"/>
          <w:sz w:val="26"/>
          <w:szCs w:val="26"/>
        </w:rPr>
        <w:t>plus £11.99 per Ever 6 free school meal. The number of pupils and free meals will include schools and academies as the LA</w:t>
      </w:r>
      <w:r w:rsidR="00211C03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>’ responsibilities cover both sectors.  A cash sum will be added to the above to cover LAs’ hi</w:t>
      </w:r>
      <w:r w:rsidRPr="004E1A43">
        <w:rPr>
          <w:rFonts w:ascii="Arial" w:hAnsi="Arial" w:cs="Arial"/>
          <w:sz w:val="26"/>
          <w:szCs w:val="26"/>
        </w:rPr>
        <w:t>storic commitment</w:t>
      </w:r>
      <w:r>
        <w:rPr>
          <w:rFonts w:ascii="Arial" w:hAnsi="Arial" w:cs="Arial"/>
          <w:sz w:val="26"/>
          <w:szCs w:val="26"/>
        </w:rPr>
        <w:t xml:space="preserve">s. </w:t>
      </w:r>
      <w:r w:rsidR="00F8634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NFF for Derbyshire, fully applied, would be as follows:</w:t>
      </w:r>
    </w:p>
    <w:tbl>
      <w:tblPr>
        <w:tblStyle w:val="TableGrid"/>
        <w:tblW w:w="9660" w:type="dxa"/>
        <w:tblInd w:w="284" w:type="dxa"/>
        <w:tblLook w:val="04A0" w:firstRow="1" w:lastRow="0" w:firstColumn="1" w:lastColumn="0" w:noHBand="0" w:noVBand="1"/>
      </w:tblPr>
      <w:tblGrid>
        <w:gridCol w:w="4673"/>
        <w:gridCol w:w="1559"/>
        <w:gridCol w:w="1701"/>
        <w:gridCol w:w="1727"/>
      </w:tblGrid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Pupil led</w:t>
            </w:r>
          </w:p>
        </w:tc>
        <w:tc>
          <w:tcPr>
            <w:tcW w:w="1701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Ever 6 led</w:t>
            </w: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NFF multiplier before ACA</w:t>
            </w:r>
          </w:p>
        </w:tc>
        <w:tc>
          <w:tcPr>
            <w:tcW w:w="1559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£28.836</w:t>
            </w:r>
          </w:p>
        </w:tc>
        <w:tc>
          <w:tcPr>
            <w:tcW w:w="1701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£11.993</w:t>
            </w: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Derbyshire count</w:t>
            </w:r>
          </w:p>
        </w:tc>
        <w:tc>
          <w:tcPr>
            <w:tcW w:w="1559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96,464.00</w:t>
            </w:r>
          </w:p>
        </w:tc>
        <w:tc>
          <w:tcPr>
            <w:tcW w:w="1701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22.901.60</w:t>
            </w: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ongoing responsibilities</w:t>
            </w:r>
          </w:p>
        </w:tc>
        <w:tc>
          <w:tcPr>
            <w:tcW w:w="1559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£2,781,694</w:t>
            </w:r>
          </w:p>
        </w:tc>
        <w:tc>
          <w:tcPr>
            <w:tcW w:w="1701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£274,663</w:t>
            </w: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£3,056,357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Historic commitments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£1,737,000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Central School Services Block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£4,793,357</w:t>
            </w:r>
          </w:p>
        </w:tc>
      </w:tr>
      <w:tr w:rsidR="00715CAF" w:rsidTr="00715CAF">
        <w:trPr>
          <w:trHeight w:val="340" w:hRule="exact"/>
        </w:trPr>
        <w:tc>
          <w:tcPr>
            <w:tcW w:w="4673" w:type="dxa"/>
          </w:tcPr>
          <w:p w:rsidR="00715CAF" w:rsidP="002E2BF4" w:rsidRDefault="00715CAF">
            <w:pPr>
              <w:pStyle w:val="ListParagraph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Overall increase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6A6A6" w:themeFill="background1" w:themeFillShade="A6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27" w:type="dxa"/>
          </w:tcPr>
          <w:p w:rsidR="00715CAF" w:rsidP="002E2BF4" w:rsidRDefault="00715CAF">
            <w:pPr>
              <w:pStyle w:val="ListParagraph"/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£364,357</w:t>
            </w:r>
          </w:p>
        </w:tc>
      </w:tr>
    </w:tbl>
    <w:p w:rsidR="00715CAF" w:rsidP="00715CAF" w:rsidRDefault="00715CAF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A56F02" w:rsidP="00A56F02" w:rsidRDefault="00A246A3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fact that Derbyshire will gain under the proposed NFF indicates that our current level of central spend is below the average </w:t>
      </w:r>
      <w:r w:rsidR="00091190">
        <w:rPr>
          <w:rFonts w:ascii="Arial" w:hAnsi="Arial" w:cs="Arial"/>
          <w:sz w:val="26"/>
          <w:szCs w:val="26"/>
        </w:rPr>
        <w:t xml:space="preserve">of </w:t>
      </w:r>
      <w:r>
        <w:rPr>
          <w:rFonts w:ascii="Arial" w:hAnsi="Arial" w:cs="Arial"/>
          <w:sz w:val="26"/>
          <w:szCs w:val="26"/>
        </w:rPr>
        <w:t>other LAs.</w:t>
      </w:r>
      <w:r w:rsidR="00091190">
        <w:rPr>
          <w:rFonts w:ascii="Arial" w:hAnsi="Arial" w:cs="Arial"/>
          <w:sz w:val="26"/>
          <w:szCs w:val="26"/>
        </w:rPr>
        <w:t xml:space="preserve"> In</w:t>
      </w:r>
      <w:r w:rsidR="00A56F02">
        <w:rPr>
          <w:rFonts w:ascii="Arial" w:hAnsi="Arial" w:cs="Arial"/>
          <w:sz w:val="26"/>
          <w:szCs w:val="26"/>
        </w:rPr>
        <w:t>creases in CSSB per pupil allocations for LAs’ existing responsibilities are capped at 2.5%</w:t>
      </w:r>
      <w:r w:rsidR="00DA7D22">
        <w:rPr>
          <w:rFonts w:ascii="Arial" w:hAnsi="Arial" w:cs="Arial"/>
          <w:sz w:val="26"/>
          <w:szCs w:val="26"/>
        </w:rPr>
        <w:t xml:space="preserve"> for 2018-19</w:t>
      </w:r>
      <w:r w:rsidR="00A56F02">
        <w:rPr>
          <w:rFonts w:ascii="Arial" w:hAnsi="Arial" w:cs="Arial"/>
          <w:sz w:val="26"/>
          <w:szCs w:val="26"/>
        </w:rPr>
        <w:t xml:space="preserve">. </w:t>
      </w:r>
      <w:r w:rsidR="00DA7D22">
        <w:rPr>
          <w:rFonts w:ascii="Arial" w:hAnsi="Arial" w:cs="Arial"/>
          <w:sz w:val="26"/>
          <w:szCs w:val="26"/>
        </w:rPr>
        <w:t xml:space="preserve"> </w:t>
      </w:r>
      <w:r w:rsidR="00A56F02">
        <w:rPr>
          <w:rFonts w:ascii="Arial" w:hAnsi="Arial" w:cs="Arial"/>
          <w:sz w:val="26"/>
          <w:szCs w:val="26"/>
        </w:rPr>
        <w:t xml:space="preserve">The 2018-19 CSSB budget will </w:t>
      </w:r>
      <w:r w:rsidR="00DA7D22">
        <w:rPr>
          <w:rFonts w:ascii="Arial" w:hAnsi="Arial" w:cs="Arial"/>
          <w:sz w:val="26"/>
          <w:szCs w:val="26"/>
        </w:rPr>
        <w:t xml:space="preserve">therefore </w:t>
      </w:r>
      <w:r w:rsidR="00A56F02">
        <w:rPr>
          <w:rFonts w:ascii="Arial" w:hAnsi="Arial" w:cs="Arial"/>
          <w:sz w:val="26"/>
          <w:szCs w:val="26"/>
        </w:rPr>
        <w:t xml:space="preserve">be £4.497m plus or minus the impact of changes in pupil numbers. An overall increase of </w:t>
      </w:r>
      <w:r w:rsidR="00D809BE">
        <w:rPr>
          <w:rFonts w:ascii="Arial" w:hAnsi="Arial" w:cs="Arial"/>
          <w:sz w:val="26"/>
          <w:szCs w:val="26"/>
        </w:rPr>
        <w:t xml:space="preserve">circa </w:t>
      </w:r>
      <w:r w:rsidR="00A56F02">
        <w:rPr>
          <w:rFonts w:ascii="Arial" w:hAnsi="Arial" w:cs="Arial"/>
          <w:sz w:val="26"/>
          <w:szCs w:val="26"/>
        </w:rPr>
        <w:t>£0.07</w:t>
      </w:r>
      <w:r w:rsidR="00D809BE">
        <w:rPr>
          <w:rFonts w:ascii="Arial" w:hAnsi="Arial" w:cs="Arial"/>
          <w:sz w:val="26"/>
          <w:szCs w:val="26"/>
        </w:rPr>
        <w:t>0</w:t>
      </w:r>
      <w:r w:rsidR="00A56F02">
        <w:rPr>
          <w:rFonts w:ascii="Arial" w:hAnsi="Arial" w:cs="Arial"/>
          <w:sz w:val="26"/>
          <w:szCs w:val="26"/>
        </w:rPr>
        <w:t xml:space="preserve">m </w:t>
      </w:r>
      <w:r w:rsidR="00DA7D22">
        <w:rPr>
          <w:rFonts w:ascii="Arial" w:hAnsi="Arial" w:cs="Arial"/>
          <w:sz w:val="26"/>
          <w:szCs w:val="26"/>
        </w:rPr>
        <w:t xml:space="preserve">on 2017-18 levels </w:t>
      </w:r>
      <w:r w:rsidR="00A56F02">
        <w:rPr>
          <w:rFonts w:ascii="Arial" w:hAnsi="Arial" w:cs="Arial"/>
          <w:sz w:val="26"/>
          <w:szCs w:val="26"/>
        </w:rPr>
        <w:t>is expected.</w:t>
      </w:r>
    </w:p>
    <w:p w:rsidR="00DA7D22" w:rsidP="00A56F02" w:rsidRDefault="00DA7D22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F8634C" w:rsidP="00A56F02" w:rsidRDefault="00DA7D22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DA7D22">
        <w:rPr>
          <w:rFonts w:ascii="Arial" w:hAnsi="Arial" w:cs="Arial"/>
          <w:sz w:val="26"/>
          <w:szCs w:val="26"/>
        </w:rPr>
        <w:t>There is one further technical change as LA</w:t>
      </w:r>
      <w:r>
        <w:rPr>
          <w:rFonts w:ascii="Arial" w:hAnsi="Arial" w:cs="Arial"/>
          <w:sz w:val="26"/>
          <w:szCs w:val="26"/>
        </w:rPr>
        <w:t>s</w:t>
      </w:r>
      <w:r w:rsidRPr="00DA7D2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will </w:t>
      </w:r>
      <w:r w:rsidRPr="00DA7D22">
        <w:rPr>
          <w:rFonts w:ascii="Arial" w:hAnsi="Arial" w:cs="Arial"/>
          <w:sz w:val="26"/>
          <w:szCs w:val="26"/>
        </w:rPr>
        <w:t>be required to write to parents of year 9 pupils about schools with an atypical age of admission, such as UTCs and studio schools, within a reasonable travelling distance. This will be a new addition to CSSB, to be included in 2018 to 2019 regulations.</w:t>
      </w:r>
      <w:r w:rsidR="00F8634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In terms of spending proposals, the Authority </w:t>
      </w:r>
      <w:r w:rsidR="00902005">
        <w:rPr>
          <w:rFonts w:ascii="Arial" w:hAnsi="Arial" w:cs="Arial"/>
          <w:sz w:val="26"/>
          <w:szCs w:val="26"/>
        </w:rPr>
        <w:t xml:space="preserve">requests that </w:t>
      </w:r>
      <w:r w:rsidR="00F8634C">
        <w:rPr>
          <w:rFonts w:ascii="Arial" w:hAnsi="Arial" w:cs="Arial"/>
          <w:sz w:val="26"/>
          <w:szCs w:val="26"/>
        </w:rPr>
        <w:t>the Schools Forum:</w:t>
      </w:r>
    </w:p>
    <w:p w:rsidR="00F8634C" w:rsidP="00A56F02" w:rsidRDefault="00F8634C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F8634C" w:rsidP="00F8634C" w:rsidRDefault="00DA7D22">
      <w:pPr>
        <w:pStyle w:val="ListParagraph"/>
        <w:numPr>
          <w:ilvl w:val="0"/>
          <w:numId w:val="22"/>
        </w:numPr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increase the on-going responsibility allocations, excluding licences, in Table 1 by 1%</w:t>
      </w:r>
      <w:r w:rsidR="00F8634C">
        <w:rPr>
          <w:rFonts w:ascii="Arial" w:hAnsi="Arial" w:cs="Arial"/>
          <w:sz w:val="26"/>
          <w:szCs w:val="26"/>
        </w:rPr>
        <w:t>;</w:t>
      </w:r>
    </w:p>
    <w:p w:rsidR="00F8634C" w:rsidP="00F8634C" w:rsidRDefault="00F8634C">
      <w:pPr>
        <w:pStyle w:val="ListParagraph"/>
        <w:numPr>
          <w:ilvl w:val="0"/>
          <w:numId w:val="22"/>
        </w:numPr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further increase the admissions figure on the basis of any </w:t>
      </w:r>
      <w:r w:rsidR="00902005">
        <w:rPr>
          <w:rFonts w:ascii="Arial" w:hAnsi="Arial" w:cs="Arial"/>
          <w:sz w:val="26"/>
          <w:szCs w:val="26"/>
        </w:rPr>
        <w:t xml:space="preserve">extra funding </w:t>
      </w:r>
      <w:r>
        <w:rPr>
          <w:rFonts w:ascii="Arial" w:hAnsi="Arial" w:cs="Arial"/>
          <w:sz w:val="26"/>
          <w:szCs w:val="26"/>
        </w:rPr>
        <w:t xml:space="preserve">in the CSSB allocations for </w:t>
      </w:r>
      <w:r w:rsidR="00902005">
        <w:rPr>
          <w:rFonts w:ascii="Arial" w:hAnsi="Arial" w:cs="Arial"/>
          <w:sz w:val="26"/>
          <w:szCs w:val="26"/>
        </w:rPr>
        <w:t xml:space="preserve">the LA’s work with </w:t>
      </w:r>
      <w:r>
        <w:rPr>
          <w:rFonts w:ascii="Arial" w:hAnsi="Arial" w:cs="Arial"/>
          <w:sz w:val="26"/>
          <w:szCs w:val="26"/>
        </w:rPr>
        <w:t>year 9 students</w:t>
      </w:r>
      <w:r w:rsidR="003666F0">
        <w:rPr>
          <w:rFonts w:ascii="Arial" w:hAnsi="Arial" w:cs="Arial"/>
          <w:sz w:val="26"/>
          <w:szCs w:val="26"/>
        </w:rPr>
        <w:t xml:space="preserve"> – likely to be in the range £2k-£5k</w:t>
      </w:r>
      <w:r>
        <w:rPr>
          <w:rFonts w:ascii="Arial" w:hAnsi="Arial" w:cs="Arial"/>
          <w:sz w:val="26"/>
          <w:szCs w:val="26"/>
        </w:rPr>
        <w:t>;</w:t>
      </w:r>
    </w:p>
    <w:p w:rsidR="00F8634C" w:rsidP="00F8634C" w:rsidRDefault="00F8634C">
      <w:pPr>
        <w:pStyle w:val="ListParagraph"/>
        <w:numPr>
          <w:ilvl w:val="0"/>
          <w:numId w:val="22"/>
        </w:numPr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increase the licences budget to the figure notified by the DfE;</w:t>
      </w:r>
      <w:r w:rsidR="003666F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and</w:t>
      </w:r>
    </w:p>
    <w:p w:rsidR="00F8634C" w:rsidP="00F8634C" w:rsidRDefault="00F8634C">
      <w:pPr>
        <w:pStyle w:val="ListParagraph"/>
        <w:numPr>
          <w:ilvl w:val="0"/>
          <w:numId w:val="22"/>
        </w:numPr>
        <w:spacing w:after="0" w:line="240" w:lineRule="auto"/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retain the </w:t>
      </w:r>
      <w:r w:rsidR="00902005">
        <w:rPr>
          <w:rFonts w:ascii="Arial" w:hAnsi="Arial" w:cs="Arial"/>
          <w:sz w:val="26"/>
          <w:szCs w:val="26"/>
        </w:rPr>
        <w:t xml:space="preserve">contribution to combined services budget </w:t>
      </w:r>
      <w:r>
        <w:rPr>
          <w:rFonts w:ascii="Arial" w:hAnsi="Arial" w:cs="Arial"/>
          <w:sz w:val="26"/>
          <w:szCs w:val="26"/>
        </w:rPr>
        <w:t>at the current level.</w:t>
      </w:r>
    </w:p>
    <w:p w:rsidR="00D809BE" w:rsidP="00A56F02" w:rsidRDefault="00D809BE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DA7D22" w:rsidP="00A56F02" w:rsidRDefault="00DA7D22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cost of the LA’s proposals </w:t>
      </w:r>
      <w:r w:rsidR="00902005">
        <w:rPr>
          <w:rFonts w:ascii="Arial" w:hAnsi="Arial" w:cs="Arial"/>
          <w:sz w:val="26"/>
          <w:szCs w:val="26"/>
        </w:rPr>
        <w:t>is £</w:t>
      </w:r>
      <w:r>
        <w:rPr>
          <w:rFonts w:ascii="Arial" w:hAnsi="Arial" w:cs="Arial"/>
          <w:sz w:val="26"/>
          <w:szCs w:val="26"/>
        </w:rPr>
        <w:t xml:space="preserve">0.021m, excluding any increase in </w:t>
      </w:r>
      <w:r w:rsidR="00902005">
        <w:rPr>
          <w:rFonts w:ascii="Arial" w:hAnsi="Arial" w:cs="Arial"/>
          <w:sz w:val="26"/>
          <w:szCs w:val="26"/>
        </w:rPr>
        <w:t xml:space="preserve">respect of </w:t>
      </w:r>
      <w:r>
        <w:rPr>
          <w:rFonts w:ascii="Arial" w:hAnsi="Arial" w:cs="Arial"/>
          <w:sz w:val="26"/>
          <w:szCs w:val="26"/>
        </w:rPr>
        <w:t>licences and the change</w:t>
      </w:r>
      <w:r w:rsidR="00902005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for</w:t>
      </w:r>
      <w:r w:rsidR="003666F0">
        <w:rPr>
          <w:rFonts w:ascii="Arial" w:hAnsi="Arial" w:cs="Arial"/>
          <w:sz w:val="26"/>
          <w:szCs w:val="26"/>
        </w:rPr>
        <w:t xml:space="preserve"> Y</w:t>
      </w:r>
      <w:r>
        <w:rPr>
          <w:rFonts w:ascii="Arial" w:hAnsi="Arial" w:cs="Arial"/>
          <w:sz w:val="26"/>
          <w:szCs w:val="26"/>
        </w:rPr>
        <w:t>ear 9 pupils. It is proposed that the balance of the Central School Services Block be retained as uncommitted at this stage.</w:t>
      </w:r>
      <w:r w:rsidR="00902005">
        <w:rPr>
          <w:rFonts w:ascii="Arial" w:hAnsi="Arial" w:cs="Arial"/>
          <w:sz w:val="26"/>
          <w:szCs w:val="26"/>
        </w:rPr>
        <w:t xml:space="preserve"> If the actual CSSB settlement for 2018-19 has been published by the time of the meeting an oral update will be presented on its impact.</w:t>
      </w:r>
    </w:p>
    <w:p w:rsidR="00F8634C" w:rsidP="00A56F02" w:rsidRDefault="00F8634C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</w:p>
    <w:p w:rsidR="00F8634C" w:rsidP="00A56F02" w:rsidRDefault="00F8634C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Final decisions on the level of central spend are a matter for the Schools Forum.</w:t>
      </w:r>
    </w:p>
    <w:p w:rsidR="002A3BE4" w:rsidP="005F1CC2" w:rsidRDefault="002A3BE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2A3BE4" w:rsidR="002A3BE4" w:rsidP="007C57E2" w:rsidRDefault="002A3B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>Other Considerations</w:t>
      </w:r>
    </w:p>
    <w:p w:rsidR="002A3BE4" w:rsidP="002A3BE4" w:rsidRDefault="002A3BE4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:rsidRPr="002A3BE4" w:rsidR="002A3BE4" w:rsidP="002A3BE4" w:rsidRDefault="002A3BE4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2A3BE4">
        <w:rPr>
          <w:rFonts w:ascii="Arial" w:hAnsi="Arial" w:cs="Arial"/>
          <w:sz w:val="26"/>
          <w:szCs w:val="26"/>
        </w:rPr>
        <w:t>In preparing this report the relevance of the following factors have been considered: social value; prevention of crime &amp; disorder, equality of opportunity, finance, human resources, legal &amp; human rights, environmental, health, property and transport considerations.</w:t>
      </w:r>
    </w:p>
    <w:p w:rsidRPr="002A3BE4" w:rsidR="002A3BE4" w:rsidP="002A3BE4" w:rsidRDefault="002A3BE4">
      <w:pPr>
        <w:pStyle w:val="ListParagraph"/>
        <w:spacing w:after="0" w:line="240" w:lineRule="auto"/>
        <w:rPr>
          <w:rFonts w:ascii="Arial" w:hAnsi="Arial" w:cs="Arial"/>
          <w:sz w:val="26"/>
          <w:szCs w:val="26"/>
        </w:rPr>
      </w:pPr>
    </w:p>
    <w:p w:rsidRPr="00173565" w:rsidR="007C57E2" w:rsidP="007C57E2" w:rsidRDefault="002A3B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>B</w:t>
      </w:r>
      <w:r w:rsidRPr="00173565" w:rsidR="007C57E2">
        <w:rPr>
          <w:rFonts w:ascii="Arial" w:hAnsi="Arial" w:cs="Arial"/>
          <w:sz w:val="26"/>
          <w:szCs w:val="26"/>
          <w:u w:val="single"/>
        </w:rPr>
        <w:t>ackground Papers</w:t>
      </w: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C57E2" w:rsidP="002A3BE4" w:rsidRDefault="007C57E2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</w:rPr>
        <w:t>Held in Children’s Services Finance</w:t>
      </w:r>
      <w:r w:rsidR="00BD588E">
        <w:rPr>
          <w:rFonts w:ascii="Arial" w:hAnsi="Arial" w:cs="Arial"/>
          <w:sz w:val="26"/>
          <w:szCs w:val="26"/>
        </w:rPr>
        <w:t>.</w:t>
      </w:r>
    </w:p>
    <w:p w:rsidRPr="00173565" w:rsidR="00BD588E" w:rsidP="007C57E2" w:rsidRDefault="00BD588E">
      <w:pPr>
        <w:pStyle w:val="ListParagraph"/>
        <w:spacing w:after="0" w:line="240" w:lineRule="auto"/>
        <w:rPr>
          <w:rFonts w:ascii="Arial" w:hAnsi="Arial" w:cs="Arial"/>
          <w:sz w:val="18"/>
          <w:szCs w:val="26"/>
        </w:rPr>
      </w:pPr>
    </w:p>
    <w:p w:rsidRPr="00173565" w:rsidR="007C57E2" w:rsidP="007C57E2" w:rsidRDefault="007C57E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6"/>
          <w:szCs w:val="26"/>
        </w:rPr>
      </w:pPr>
      <w:r w:rsidRPr="00173565">
        <w:rPr>
          <w:rFonts w:ascii="Arial" w:hAnsi="Arial" w:cs="Arial"/>
          <w:sz w:val="26"/>
          <w:szCs w:val="26"/>
          <w:u w:val="single"/>
        </w:rPr>
        <w:t>Strategic Director’s Recommendation</w:t>
      </w:r>
    </w:p>
    <w:p w:rsidRPr="00173565" w:rsidR="007C57E2" w:rsidP="007C57E2" w:rsidRDefault="007C57E2">
      <w:pPr>
        <w:pStyle w:val="ListParagraph"/>
        <w:spacing w:after="0" w:line="240" w:lineRule="auto"/>
        <w:rPr>
          <w:rFonts w:ascii="Arial" w:hAnsi="Arial" w:cs="Arial"/>
          <w:sz w:val="16"/>
          <w:szCs w:val="26"/>
        </w:rPr>
      </w:pPr>
    </w:p>
    <w:p w:rsidRPr="003E36C4" w:rsidR="003E36C4" w:rsidP="00902005" w:rsidRDefault="003E36C4">
      <w:pPr>
        <w:pStyle w:val="ListParagraph"/>
        <w:spacing w:after="0" w:line="240" w:lineRule="auto"/>
        <w:ind w:left="284"/>
        <w:rPr>
          <w:rFonts w:ascii="Arial" w:hAnsi="Arial" w:cs="Arial"/>
          <w:sz w:val="26"/>
          <w:szCs w:val="26"/>
        </w:rPr>
      </w:pPr>
      <w:r w:rsidRPr="003E36C4">
        <w:rPr>
          <w:rFonts w:ascii="Arial" w:hAnsi="Arial" w:cs="Arial"/>
          <w:sz w:val="26"/>
          <w:szCs w:val="26"/>
        </w:rPr>
        <w:t>That the Schools Forum</w:t>
      </w:r>
      <w:r w:rsidR="00F8634C">
        <w:rPr>
          <w:rFonts w:ascii="Arial" w:hAnsi="Arial" w:cs="Arial"/>
          <w:sz w:val="26"/>
          <w:szCs w:val="26"/>
        </w:rPr>
        <w:t xml:space="preserve"> agree to the </w:t>
      </w:r>
      <w:r w:rsidR="00902005">
        <w:rPr>
          <w:rFonts w:ascii="Arial" w:hAnsi="Arial" w:cs="Arial"/>
          <w:sz w:val="26"/>
          <w:szCs w:val="26"/>
        </w:rPr>
        <w:t xml:space="preserve">CSSB allocations </w:t>
      </w:r>
      <w:r w:rsidR="00F8634C">
        <w:rPr>
          <w:rFonts w:ascii="Arial" w:hAnsi="Arial" w:cs="Arial"/>
          <w:sz w:val="26"/>
          <w:szCs w:val="26"/>
        </w:rPr>
        <w:t>set out in the report.</w:t>
      </w:r>
      <w:r w:rsidRPr="003E36C4">
        <w:rPr>
          <w:rFonts w:ascii="Arial" w:hAnsi="Arial" w:cs="Arial"/>
          <w:sz w:val="26"/>
          <w:szCs w:val="26"/>
        </w:rPr>
        <w:t xml:space="preserve"> </w:t>
      </w:r>
    </w:p>
    <w:p w:rsidR="00EF5598" w:rsidP="007C57E2" w:rsidRDefault="00EF5598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</w:p>
    <w:p w:rsidRPr="00173565" w:rsidR="007C57E2" w:rsidP="007C57E2" w:rsidRDefault="007C57E2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</w:pPr>
      <w:r w:rsidRPr="00173565">
        <w:rPr>
          <w:rFonts w:ascii="Arial" w:hAnsi="Arial" w:cs="Arial"/>
          <w:b/>
          <w:sz w:val="26"/>
          <w:szCs w:val="26"/>
        </w:rPr>
        <w:t>JANE PARFREMENT</w:t>
      </w:r>
    </w:p>
    <w:p w:rsidRPr="00902005" w:rsidR="00EF5598" w:rsidP="007C57E2" w:rsidRDefault="00EF5598">
      <w:pPr>
        <w:spacing w:after="0" w:line="240" w:lineRule="auto"/>
        <w:ind w:left="709"/>
        <w:jc w:val="center"/>
        <w:rPr>
          <w:rFonts w:ascii="Arial" w:hAnsi="Arial" w:cs="Arial"/>
          <w:b/>
          <w:sz w:val="12"/>
          <w:szCs w:val="26"/>
        </w:rPr>
      </w:pPr>
    </w:p>
    <w:p w:rsidR="00A56F02" w:rsidP="006A5091" w:rsidRDefault="007C57E2">
      <w:pPr>
        <w:spacing w:after="0" w:line="240" w:lineRule="auto"/>
        <w:ind w:left="709"/>
        <w:jc w:val="center"/>
        <w:rPr>
          <w:rFonts w:ascii="Arial" w:hAnsi="Arial" w:cs="Arial"/>
          <w:b/>
          <w:sz w:val="26"/>
          <w:szCs w:val="26"/>
        </w:rPr>
        <w:sectPr w:rsidR="00A56F02" w:rsidSect="00902005">
          <w:footerReference w:type="default" r:id="rId8"/>
          <w:pgSz w:w="11906" w:h="16838"/>
          <w:pgMar w:top="426" w:right="566" w:bottom="568" w:left="709" w:header="708" w:footer="0" w:gutter="0"/>
          <w:cols w:space="708"/>
          <w:docGrid w:linePitch="360"/>
        </w:sectPr>
      </w:pPr>
      <w:r w:rsidRPr="00173565">
        <w:rPr>
          <w:rFonts w:ascii="Arial" w:hAnsi="Arial" w:cs="Arial"/>
          <w:b/>
          <w:sz w:val="26"/>
          <w:szCs w:val="26"/>
        </w:rPr>
        <w:t xml:space="preserve">Strategic </w:t>
      </w:r>
      <w:r>
        <w:rPr>
          <w:rFonts w:ascii="Arial" w:hAnsi="Arial" w:cs="Arial"/>
          <w:b/>
          <w:sz w:val="26"/>
          <w:szCs w:val="26"/>
        </w:rPr>
        <w:t>Director for Children’s Service</w:t>
      </w:r>
      <w:r w:rsidR="00B1363D">
        <w:rPr>
          <w:rFonts w:ascii="Arial" w:hAnsi="Arial" w:cs="Arial"/>
          <w:b/>
          <w:sz w:val="26"/>
          <w:szCs w:val="26"/>
        </w:rPr>
        <w:t>s</w:t>
      </w:r>
    </w:p>
    <w:p w:rsidR="00A56F02" w:rsidP="00A56F02" w:rsidRDefault="00A56F02">
      <w:pPr>
        <w:tabs>
          <w:tab w:val="left" w:pos="9072"/>
        </w:tabs>
        <w:spacing w:after="0" w:line="240" w:lineRule="auto"/>
        <w:ind w:left="426" w:right="-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F</w:t>
      </w:r>
      <w:r w:rsidRPr="00470865">
        <w:rPr>
          <w:rFonts w:ascii="Arial" w:hAnsi="Arial" w:cs="Arial"/>
          <w:b/>
          <w:sz w:val="24"/>
          <w:szCs w:val="24"/>
          <w:u w:val="single"/>
        </w:rPr>
        <w:t>rm</w:t>
      </w:r>
      <w:r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Pr="00470865">
        <w:rPr>
          <w:rFonts w:ascii="Arial" w:hAnsi="Arial" w:cs="Arial"/>
          <w:b/>
          <w:sz w:val="24"/>
          <w:szCs w:val="24"/>
          <w:u w:val="single"/>
        </w:rPr>
        <w:t>ESG-funded responsibilities LAs hold for</w:t>
      </w:r>
      <w:r w:rsidR="00902005">
        <w:rPr>
          <w:rFonts w:ascii="Arial" w:hAnsi="Arial" w:cs="Arial"/>
          <w:b/>
          <w:sz w:val="24"/>
          <w:szCs w:val="24"/>
          <w:u w:val="single"/>
        </w:rPr>
        <w:t xml:space="preserve"> all </w:t>
      </w:r>
      <w:r w:rsidRPr="00470865">
        <w:rPr>
          <w:rFonts w:ascii="Arial" w:hAnsi="Arial" w:cs="Arial"/>
          <w:b/>
          <w:sz w:val="24"/>
          <w:szCs w:val="24"/>
          <w:u w:val="single"/>
        </w:rPr>
        <w:t>schools</w:t>
      </w:r>
      <w:r>
        <w:rPr>
          <w:rFonts w:ascii="Arial" w:hAnsi="Arial" w:cs="Arial"/>
          <w:b/>
          <w:sz w:val="24"/>
          <w:szCs w:val="24"/>
          <w:u w:val="single"/>
        </w:rPr>
        <w:t xml:space="preserve"> and academies</w:t>
      </w:r>
      <w:r w:rsidRPr="008A5596">
        <w:rPr>
          <w:rFonts w:ascii="Arial" w:hAnsi="Arial" w:cs="Arial"/>
          <w:b/>
          <w:sz w:val="24"/>
          <w:szCs w:val="24"/>
        </w:rPr>
        <w:tab/>
      </w:r>
      <w:r w:rsidRPr="00470865">
        <w:rPr>
          <w:rFonts w:ascii="Arial" w:hAnsi="Arial" w:cs="Arial"/>
          <w:b/>
          <w:sz w:val="24"/>
          <w:szCs w:val="24"/>
          <w:u w:val="single"/>
        </w:rPr>
        <w:t xml:space="preserve">Appendix </w:t>
      </w:r>
      <w:r>
        <w:rPr>
          <w:rFonts w:ascii="Arial" w:hAnsi="Arial" w:cs="Arial"/>
          <w:b/>
          <w:sz w:val="24"/>
          <w:szCs w:val="24"/>
          <w:u w:val="single"/>
        </w:rPr>
        <w:t>1</w:t>
      </w:r>
    </w:p>
    <w:p w:rsidR="00A56F02" w:rsidP="00A56F02" w:rsidRDefault="00A56F02">
      <w:pPr>
        <w:tabs>
          <w:tab w:val="left" w:pos="8789"/>
        </w:tabs>
        <w:spacing w:after="0" w:line="240" w:lineRule="auto"/>
        <w:ind w:left="-284" w:right="-425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0206" w:type="dxa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6"/>
      </w:tblGrid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Statutory and regulatory duties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Director of children’s services and personal staff for director (Sch 2, 15a)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Planning for the education service as a whole (Sch 2, 15b)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Revenue budget preparation, preparation of information on income and expenditure relating to education, and external audit relating to education (Sch 2, 22)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Authorisation and monitoring of expenditure not met from schools’ budget shares (Sch 2, 15c)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Formulation and review of local authority schools funding formula (Sch 2, 15d)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Internal audit and other tasks related to the authority’s chief finance officer’s responsibilities under Section 151 of LGA 1972 except duties specifically related to maintained schools (Sch 2, 15e)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Consultation costs relating to non-staffing issues (Sch 2, 19)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Plans involving collaboration with other LA services or public/voluntary bodies (Sch 2, 15f)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Standing Advisory Committees for Religious Education (SACREs) (Sch 2, 17)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D649F0" w:rsidR="00A56F02" w:rsidP="002E2BF4" w:rsidRDefault="00A56F02">
            <w:pPr>
              <w:spacing w:after="0" w:line="240" w:lineRule="auto"/>
            </w:pPr>
            <w:r w:rsidRPr="008A5596">
              <w:rPr>
                <w:rFonts w:ascii="Arial" w:hAnsi="Arial" w:cs="Arial"/>
                <w:sz w:val="24"/>
                <w:szCs w:val="24"/>
              </w:rPr>
              <w:t>Provision of information to or at the request of the Crown other than relating specifically to maintained schools (Sch 2, 21)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Education welfare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Functions in relation to the exclusion of pupils from schools, excluding any provision of education to excluded pupils (Sch 2, 20)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School attendance (Sch 2, 16)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56F02" w:rsidP="002E2BF4" w:rsidRDefault="00A56F02">
            <w:pPr>
              <w:spacing w:after="0" w:line="240" w:lineRule="auto"/>
            </w:pPr>
            <w:r w:rsidRPr="008A5596">
              <w:rPr>
                <w:rFonts w:ascii="Arial" w:hAnsi="Arial" w:cs="Arial"/>
                <w:sz w:val="24"/>
                <w:szCs w:val="24"/>
              </w:rPr>
              <w:t>Responsibilities regarding the employment of children (Sch 2, 18)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Asset management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Management of the LA’s capital programme including preparation and review of an asset management plan, and negotiation and management of private finance transactions (Sch 2, 14a)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D649F0" w:rsidR="00A56F02" w:rsidP="002E2BF4" w:rsidRDefault="00A56F02">
            <w:pPr>
              <w:spacing w:after="0" w:line="240" w:lineRule="auto"/>
            </w:pPr>
            <w:r w:rsidRPr="008A5596">
              <w:rPr>
                <w:rFonts w:ascii="Arial" w:hAnsi="Arial" w:cs="Arial"/>
                <w:sz w:val="24"/>
                <w:szCs w:val="24"/>
              </w:rPr>
              <w:t>General landlord duties for all buildings owned by the local authority, including those leased to academies (Sch 2, 14b)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Central support services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No functions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Premature retirement and redundancy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No functions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Monitoring national curriculum assessment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No functions</w:t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Therapies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No functions</w:t>
            </w:r>
          </w:p>
        </w:tc>
      </w:tr>
      <w:tr w:rsidR="00A56F02" w:rsidTr="00A56F02">
        <w:trPr>
          <w:trHeight w:val="887"/>
        </w:trPr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Other ongoing duties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 xml:space="preserve">Licences negotiated centrally by the Secretary of State for all publicly funded schools (Sch 2, 8) – this does not require schools forum approval 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Admissions (Sch 2, 9)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Places in independent schools for non-SEN pupils (Sch 2, 10)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Remission of boarding fees at maintained schools and academies (Sch 2, 11)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 xml:space="preserve">Servicing of schools forums (Sch 2, 12) 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Back-pay for equal pay claims (Sch 2, 13)</w:t>
            </w:r>
          </w:p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Writing to parents of year 9 pupils about schools with an atypical age of admission, such as UTCs and studio schools, within a reasonable travelling distance (new addition to CSSB, to be included in 2018-19 regulations).</w:t>
            </w:r>
            <w:r w:rsidRPr="008A5596">
              <w:rPr>
                <w:rFonts w:ascii="Arial" w:hAnsi="Arial"/>
                <w:sz w:val="24"/>
                <w:szCs w:val="24"/>
              </w:rPr>
              <w:footnoteReference w:id="1"/>
            </w:r>
          </w:p>
        </w:tc>
      </w:tr>
      <w:tr w:rsidR="00A56F02" w:rsidTr="00A56F02">
        <w:tc>
          <w:tcPr>
            <w:tcW w:w="10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A5596" w:rsidR="00A56F02" w:rsidP="002E2BF4" w:rsidRDefault="00A56F0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A5596">
              <w:rPr>
                <w:rFonts w:ascii="Arial" w:hAnsi="Arial" w:cs="Arial"/>
                <w:b/>
                <w:sz w:val="24"/>
                <w:szCs w:val="24"/>
                <w:u w:val="single"/>
              </w:rPr>
              <w:t>Historic commitments</w:t>
            </w:r>
          </w:p>
          <w:p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Capital expenditure funded from revenue (Sch 2, 1)</w:t>
            </w: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Prudential borrowing costs (Sch 2, 2(a))</w:t>
            </w: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Termination of employment costs (Sch 2, 2(b))</w:t>
            </w: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  <w:p w:rsidRPr="008A5596" w:rsidR="00A56F02" w:rsidP="002E2BF4" w:rsidRDefault="00A56F02">
            <w:pPr>
              <w:spacing w:after="0" w:line="24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8A5596">
              <w:rPr>
                <w:rFonts w:ascii="Arial" w:hAnsi="Arial" w:cs="Arial"/>
                <w:sz w:val="24"/>
                <w:szCs w:val="24"/>
              </w:rPr>
              <w:t>Contribution to combined budgets (Sch 2, 2(c))</w:t>
            </w:r>
          </w:p>
        </w:tc>
      </w:tr>
    </w:tbl>
    <w:p w:rsidRPr="000318C8" w:rsidR="00A068EF" w:rsidP="006A5091" w:rsidRDefault="00A068EF">
      <w:pPr>
        <w:spacing w:after="0" w:line="240" w:lineRule="auto"/>
        <w:ind w:left="709"/>
        <w:jc w:val="center"/>
        <w:rPr>
          <w:sz w:val="10"/>
        </w:rPr>
      </w:pPr>
    </w:p>
    <w:sectPr w:rsidRPr="000318C8" w:rsidR="00A068EF" w:rsidSect="00715CAF">
      <w:pgSz w:w="11906" w:h="16838"/>
      <w:pgMar w:top="426" w:right="707" w:bottom="993" w:left="70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17" w:rsidRDefault="00AF3717" w:rsidP="007C57E2">
      <w:pPr>
        <w:spacing w:after="0" w:line="240" w:lineRule="auto"/>
      </w:pPr>
      <w:r>
        <w:separator/>
      </w:r>
    </w:p>
  </w:endnote>
  <w:endnote w:type="continuationSeparator" w:id="0">
    <w:p w:rsidR="00AF3717" w:rsidRDefault="00AF3717" w:rsidP="007C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12911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2251" w:rsidRDefault="004622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1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62251" w:rsidRDefault="004622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17" w:rsidRDefault="00AF3717" w:rsidP="007C57E2">
      <w:pPr>
        <w:spacing w:after="0" w:line="240" w:lineRule="auto"/>
      </w:pPr>
      <w:r>
        <w:separator/>
      </w:r>
    </w:p>
  </w:footnote>
  <w:footnote w:type="continuationSeparator" w:id="0">
    <w:p w:rsidR="00AF3717" w:rsidRDefault="00AF3717" w:rsidP="007C57E2">
      <w:pPr>
        <w:spacing w:after="0" w:line="240" w:lineRule="auto"/>
      </w:pPr>
      <w:r>
        <w:continuationSeparator/>
      </w:r>
    </w:p>
  </w:footnote>
  <w:footnote w:id="1">
    <w:p w:rsidR="00A56F02" w:rsidRDefault="00A56F02" w:rsidP="00A56F02">
      <w:pPr>
        <w:pStyle w:val="FootnoteText"/>
        <w:ind w:left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E72"/>
    <w:multiLevelType w:val="hybridMultilevel"/>
    <w:tmpl w:val="8D3CC0CC"/>
    <w:lvl w:ilvl="0" w:tplc="181C58A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0115BE"/>
    <w:multiLevelType w:val="hybridMultilevel"/>
    <w:tmpl w:val="B6C8B824"/>
    <w:lvl w:ilvl="0" w:tplc="72CA0E8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5C1EE7"/>
    <w:multiLevelType w:val="hybridMultilevel"/>
    <w:tmpl w:val="400EBEF2"/>
    <w:lvl w:ilvl="0" w:tplc="F672289C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627641"/>
    <w:multiLevelType w:val="hybridMultilevel"/>
    <w:tmpl w:val="D002938E"/>
    <w:lvl w:ilvl="0" w:tplc="78F0040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D06F9C"/>
    <w:multiLevelType w:val="hybridMultilevel"/>
    <w:tmpl w:val="0ED6A4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F4DD9"/>
    <w:multiLevelType w:val="hybridMultilevel"/>
    <w:tmpl w:val="E440138E"/>
    <w:lvl w:ilvl="0" w:tplc="FACE40E4">
      <w:start w:val="1"/>
      <w:numFmt w:val="lowerRoman"/>
      <w:lvlText w:val="(%1)"/>
      <w:lvlJc w:val="left"/>
      <w:pPr>
        <w:ind w:left="200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66" w:hanging="360"/>
      </w:pPr>
    </w:lvl>
    <w:lvl w:ilvl="2" w:tplc="0809001B" w:tentative="1">
      <w:start w:val="1"/>
      <w:numFmt w:val="lowerRoman"/>
      <w:lvlText w:val="%3."/>
      <w:lvlJc w:val="right"/>
      <w:pPr>
        <w:ind w:left="3086" w:hanging="180"/>
      </w:pPr>
    </w:lvl>
    <w:lvl w:ilvl="3" w:tplc="0809000F" w:tentative="1">
      <w:start w:val="1"/>
      <w:numFmt w:val="decimal"/>
      <w:lvlText w:val="%4."/>
      <w:lvlJc w:val="left"/>
      <w:pPr>
        <w:ind w:left="3806" w:hanging="360"/>
      </w:pPr>
    </w:lvl>
    <w:lvl w:ilvl="4" w:tplc="08090019" w:tentative="1">
      <w:start w:val="1"/>
      <w:numFmt w:val="lowerLetter"/>
      <w:lvlText w:val="%5."/>
      <w:lvlJc w:val="left"/>
      <w:pPr>
        <w:ind w:left="4526" w:hanging="360"/>
      </w:pPr>
    </w:lvl>
    <w:lvl w:ilvl="5" w:tplc="0809001B" w:tentative="1">
      <w:start w:val="1"/>
      <w:numFmt w:val="lowerRoman"/>
      <w:lvlText w:val="%6."/>
      <w:lvlJc w:val="right"/>
      <w:pPr>
        <w:ind w:left="5246" w:hanging="180"/>
      </w:pPr>
    </w:lvl>
    <w:lvl w:ilvl="6" w:tplc="0809000F" w:tentative="1">
      <w:start w:val="1"/>
      <w:numFmt w:val="decimal"/>
      <w:lvlText w:val="%7."/>
      <w:lvlJc w:val="left"/>
      <w:pPr>
        <w:ind w:left="5966" w:hanging="360"/>
      </w:pPr>
    </w:lvl>
    <w:lvl w:ilvl="7" w:tplc="08090019" w:tentative="1">
      <w:start w:val="1"/>
      <w:numFmt w:val="lowerLetter"/>
      <w:lvlText w:val="%8."/>
      <w:lvlJc w:val="left"/>
      <w:pPr>
        <w:ind w:left="6686" w:hanging="360"/>
      </w:pPr>
    </w:lvl>
    <w:lvl w:ilvl="8" w:tplc="080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6" w15:restartNumberingAfterBreak="0">
    <w:nsid w:val="1B456729"/>
    <w:multiLevelType w:val="hybridMultilevel"/>
    <w:tmpl w:val="B730224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01B682D"/>
    <w:multiLevelType w:val="hybridMultilevel"/>
    <w:tmpl w:val="AE8A9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B1CEF"/>
    <w:multiLevelType w:val="hybridMultilevel"/>
    <w:tmpl w:val="C91A9B54"/>
    <w:lvl w:ilvl="0" w:tplc="89308D5E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F57D80"/>
    <w:multiLevelType w:val="multilevel"/>
    <w:tmpl w:val="C6846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472E4C"/>
    <w:multiLevelType w:val="multilevel"/>
    <w:tmpl w:val="AEEC3EE6"/>
    <w:styleLink w:val="LFO3"/>
    <w:lvl w:ilvl="0">
      <w:start w:val="1"/>
      <w:numFmt w:val="decimal"/>
      <w:pStyle w:val="DfESOutNumbered1"/>
      <w:lvlText w:val="%1."/>
      <w:lvlJc w:val="left"/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i w:val="0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968" w:hanging="1368"/>
      </w:pPr>
    </w:lvl>
    <w:lvl w:ilvl="6">
      <w:start w:val="1"/>
      <w:numFmt w:val="decimal"/>
      <w:lvlText w:val="%1.%2.%3.%4.%5.%6.%7"/>
      <w:lvlJc w:val="left"/>
      <w:pPr>
        <w:ind w:left="5976" w:hanging="1656"/>
      </w:pPr>
    </w:lvl>
    <w:lvl w:ilvl="7">
      <w:start w:val="1"/>
      <w:numFmt w:val="decimal"/>
      <w:lvlText w:val="%1.%2.%3.%4.%5.%6.%7.%8"/>
      <w:lvlJc w:val="left"/>
      <w:pPr>
        <w:ind w:left="6696" w:hanging="1656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1" w15:restartNumberingAfterBreak="0">
    <w:nsid w:val="319A26AF"/>
    <w:multiLevelType w:val="hybridMultilevel"/>
    <w:tmpl w:val="C87CCEB6"/>
    <w:lvl w:ilvl="0" w:tplc="67686CE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1D5671"/>
    <w:multiLevelType w:val="hybridMultilevel"/>
    <w:tmpl w:val="D4507A0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EF5D82"/>
    <w:multiLevelType w:val="hybridMultilevel"/>
    <w:tmpl w:val="5F909298"/>
    <w:lvl w:ilvl="0" w:tplc="4BAEE8D2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D3161F"/>
    <w:multiLevelType w:val="hybridMultilevel"/>
    <w:tmpl w:val="673A82B0"/>
    <w:lvl w:ilvl="0" w:tplc="750CD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DF44C1"/>
    <w:multiLevelType w:val="hybridMultilevel"/>
    <w:tmpl w:val="B6C8B824"/>
    <w:lvl w:ilvl="0" w:tplc="72CA0E8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7C4492"/>
    <w:multiLevelType w:val="hybridMultilevel"/>
    <w:tmpl w:val="0C10226C"/>
    <w:lvl w:ilvl="0" w:tplc="B208737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6328AA"/>
    <w:multiLevelType w:val="hybridMultilevel"/>
    <w:tmpl w:val="8F9CCB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2749D9"/>
    <w:multiLevelType w:val="hybridMultilevel"/>
    <w:tmpl w:val="B23409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0917BE"/>
    <w:multiLevelType w:val="hybridMultilevel"/>
    <w:tmpl w:val="28D6E00E"/>
    <w:lvl w:ilvl="0" w:tplc="AA8C635C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D0E59F8"/>
    <w:multiLevelType w:val="multilevel"/>
    <w:tmpl w:val="E8549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DC11D71"/>
    <w:multiLevelType w:val="hybridMultilevel"/>
    <w:tmpl w:val="7994AD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5"/>
  </w:num>
  <w:num w:numId="4">
    <w:abstractNumId w:val="17"/>
  </w:num>
  <w:num w:numId="5">
    <w:abstractNumId w:val="16"/>
  </w:num>
  <w:num w:numId="6">
    <w:abstractNumId w:val="19"/>
  </w:num>
  <w:num w:numId="7">
    <w:abstractNumId w:val="0"/>
  </w:num>
  <w:num w:numId="8">
    <w:abstractNumId w:val="21"/>
  </w:num>
  <w:num w:numId="9">
    <w:abstractNumId w:val="12"/>
  </w:num>
  <w:num w:numId="10">
    <w:abstractNumId w:val="14"/>
  </w:num>
  <w:num w:numId="11">
    <w:abstractNumId w:val="2"/>
  </w:num>
  <w:num w:numId="12">
    <w:abstractNumId w:val="15"/>
  </w:num>
  <w:num w:numId="13">
    <w:abstractNumId w:val="1"/>
  </w:num>
  <w:num w:numId="14">
    <w:abstractNumId w:val="11"/>
  </w:num>
  <w:num w:numId="15">
    <w:abstractNumId w:val="7"/>
  </w:num>
  <w:num w:numId="16">
    <w:abstractNumId w:val="4"/>
  </w:num>
  <w:num w:numId="17">
    <w:abstractNumId w:val="13"/>
  </w:num>
  <w:num w:numId="18">
    <w:abstractNumId w:val="3"/>
  </w:num>
  <w:num w:numId="19">
    <w:abstractNumId w:val="18"/>
  </w:num>
  <w:num w:numId="20">
    <w:abstractNumId w:val="9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E2"/>
    <w:rsid w:val="00014C8F"/>
    <w:rsid w:val="0002604D"/>
    <w:rsid w:val="00030B78"/>
    <w:rsid w:val="000318C8"/>
    <w:rsid w:val="000360E1"/>
    <w:rsid w:val="00065D35"/>
    <w:rsid w:val="00077E9F"/>
    <w:rsid w:val="00091190"/>
    <w:rsid w:val="000D7A29"/>
    <w:rsid w:val="00111CD8"/>
    <w:rsid w:val="00145AE7"/>
    <w:rsid w:val="001516D3"/>
    <w:rsid w:val="00155493"/>
    <w:rsid w:val="00157D74"/>
    <w:rsid w:val="0018031C"/>
    <w:rsid w:val="00180A5F"/>
    <w:rsid w:val="001C3073"/>
    <w:rsid w:val="001D726C"/>
    <w:rsid w:val="001F7FA6"/>
    <w:rsid w:val="00203364"/>
    <w:rsid w:val="00211C03"/>
    <w:rsid w:val="00222D4F"/>
    <w:rsid w:val="00233EFD"/>
    <w:rsid w:val="002341A3"/>
    <w:rsid w:val="0026731B"/>
    <w:rsid w:val="00271904"/>
    <w:rsid w:val="00294A25"/>
    <w:rsid w:val="00296F6D"/>
    <w:rsid w:val="002A3BE4"/>
    <w:rsid w:val="002A4D26"/>
    <w:rsid w:val="002D2990"/>
    <w:rsid w:val="002E3E7B"/>
    <w:rsid w:val="00301A25"/>
    <w:rsid w:val="00301C7C"/>
    <w:rsid w:val="00352FCD"/>
    <w:rsid w:val="003666F0"/>
    <w:rsid w:val="003868FB"/>
    <w:rsid w:val="00391937"/>
    <w:rsid w:val="003A11CE"/>
    <w:rsid w:val="003C2994"/>
    <w:rsid w:val="003C66F5"/>
    <w:rsid w:val="003D0DE1"/>
    <w:rsid w:val="003E2294"/>
    <w:rsid w:val="003E36C4"/>
    <w:rsid w:val="003E7BF8"/>
    <w:rsid w:val="003F1BC1"/>
    <w:rsid w:val="003F738B"/>
    <w:rsid w:val="00401B01"/>
    <w:rsid w:val="00436147"/>
    <w:rsid w:val="00442BF9"/>
    <w:rsid w:val="0044632E"/>
    <w:rsid w:val="00447347"/>
    <w:rsid w:val="0045724A"/>
    <w:rsid w:val="00462251"/>
    <w:rsid w:val="00471BC0"/>
    <w:rsid w:val="0049423F"/>
    <w:rsid w:val="004B5300"/>
    <w:rsid w:val="004B6A18"/>
    <w:rsid w:val="004C5AA6"/>
    <w:rsid w:val="004D2676"/>
    <w:rsid w:val="004D70B8"/>
    <w:rsid w:val="004F4572"/>
    <w:rsid w:val="004F7DDF"/>
    <w:rsid w:val="00503550"/>
    <w:rsid w:val="0051422A"/>
    <w:rsid w:val="00523EEF"/>
    <w:rsid w:val="005330E9"/>
    <w:rsid w:val="00546846"/>
    <w:rsid w:val="00575C7A"/>
    <w:rsid w:val="00594D48"/>
    <w:rsid w:val="005A4A68"/>
    <w:rsid w:val="005C747A"/>
    <w:rsid w:val="005D654A"/>
    <w:rsid w:val="005D7E22"/>
    <w:rsid w:val="005F1CC2"/>
    <w:rsid w:val="00621168"/>
    <w:rsid w:val="00624AC6"/>
    <w:rsid w:val="006545D2"/>
    <w:rsid w:val="00670FBA"/>
    <w:rsid w:val="00671AC3"/>
    <w:rsid w:val="00691D21"/>
    <w:rsid w:val="00695605"/>
    <w:rsid w:val="006A276E"/>
    <w:rsid w:val="006A5091"/>
    <w:rsid w:val="006B388C"/>
    <w:rsid w:val="006B6B84"/>
    <w:rsid w:val="006B7ACD"/>
    <w:rsid w:val="00702854"/>
    <w:rsid w:val="00702B4D"/>
    <w:rsid w:val="00715CAF"/>
    <w:rsid w:val="00721EB6"/>
    <w:rsid w:val="0074788A"/>
    <w:rsid w:val="007643CB"/>
    <w:rsid w:val="00767AF3"/>
    <w:rsid w:val="00783876"/>
    <w:rsid w:val="007C0AD7"/>
    <w:rsid w:val="007C47B4"/>
    <w:rsid w:val="007C57E2"/>
    <w:rsid w:val="00804F65"/>
    <w:rsid w:val="008268A6"/>
    <w:rsid w:val="00860749"/>
    <w:rsid w:val="008A6EBF"/>
    <w:rsid w:val="008C02F3"/>
    <w:rsid w:val="008C3131"/>
    <w:rsid w:val="008D1079"/>
    <w:rsid w:val="008D3C19"/>
    <w:rsid w:val="008E1693"/>
    <w:rsid w:val="008F3E84"/>
    <w:rsid w:val="00902005"/>
    <w:rsid w:val="0091491C"/>
    <w:rsid w:val="0091708D"/>
    <w:rsid w:val="009269B9"/>
    <w:rsid w:val="00937AD3"/>
    <w:rsid w:val="00942B81"/>
    <w:rsid w:val="00957C46"/>
    <w:rsid w:val="00990B36"/>
    <w:rsid w:val="009A51E7"/>
    <w:rsid w:val="009C17A3"/>
    <w:rsid w:val="009D65BA"/>
    <w:rsid w:val="009E7BB6"/>
    <w:rsid w:val="00A068EF"/>
    <w:rsid w:val="00A16962"/>
    <w:rsid w:val="00A246A3"/>
    <w:rsid w:val="00A42E7D"/>
    <w:rsid w:val="00A56F02"/>
    <w:rsid w:val="00A61BC5"/>
    <w:rsid w:val="00A9069E"/>
    <w:rsid w:val="00AA4378"/>
    <w:rsid w:val="00AB5A04"/>
    <w:rsid w:val="00AE07F5"/>
    <w:rsid w:val="00AF3717"/>
    <w:rsid w:val="00AF4756"/>
    <w:rsid w:val="00B1363D"/>
    <w:rsid w:val="00B73455"/>
    <w:rsid w:val="00BA51C9"/>
    <w:rsid w:val="00BB056B"/>
    <w:rsid w:val="00BC2C6C"/>
    <w:rsid w:val="00BD588E"/>
    <w:rsid w:val="00BF3112"/>
    <w:rsid w:val="00C03AF9"/>
    <w:rsid w:val="00C12DE8"/>
    <w:rsid w:val="00C20F13"/>
    <w:rsid w:val="00C3190D"/>
    <w:rsid w:val="00C50DFA"/>
    <w:rsid w:val="00C66A41"/>
    <w:rsid w:val="00C82865"/>
    <w:rsid w:val="00CB09B2"/>
    <w:rsid w:val="00CD1F01"/>
    <w:rsid w:val="00CF6068"/>
    <w:rsid w:val="00D028C8"/>
    <w:rsid w:val="00D1274A"/>
    <w:rsid w:val="00D14230"/>
    <w:rsid w:val="00D15647"/>
    <w:rsid w:val="00D33C19"/>
    <w:rsid w:val="00D42227"/>
    <w:rsid w:val="00D46797"/>
    <w:rsid w:val="00D51228"/>
    <w:rsid w:val="00D55571"/>
    <w:rsid w:val="00D809BE"/>
    <w:rsid w:val="00DA7747"/>
    <w:rsid w:val="00DA7D22"/>
    <w:rsid w:val="00DD0837"/>
    <w:rsid w:val="00DD6C4A"/>
    <w:rsid w:val="00DE03B3"/>
    <w:rsid w:val="00DF0976"/>
    <w:rsid w:val="00E01597"/>
    <w:rsid w:val="00E11297"/>
    <w:rsid w:val="00E117FC"/>
    <w:rsid w:val="00E138AF"/>
    <w:rsid w:val="00E31DC5"/>
    <w:rsid w:val="00E67EE8"/>
    <w:rsid w:val="00E71303"/>
    <w:rsid w:val="00E71794"/>
    <w:rsid w:val="00E85ABB"/>
    <w:rsid w:val="00E9004E"/>
    <w:rsid w:val="00EC0318"/>
    <w:rsid w:val="00EE258D"/>
    <w:rsid w:val="00EF2473"/>
    <w:rsid w:val="00EF5598"/>
    <w:rsid w:val="00F05C52"/>
    <w:rsid w:val="00F146EF"/>
    <w:rsid w:val="00F23CFA"/>
    <w:rsid w:val="00F272F9"/>
    <w:rsid w:val="00F2781E"/>
    <w:rsid w:val="00F37B82"/>
    <w:rsid w:val="00F402E9"/>
    <w:rsid w:val="00F72426"/>
    <w:rsid w:val="00F83BAF"/>
    <w:rsid w:val="00F8634C"/>
    <w:rsid w:val="00FE26FE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B2D83741-8CB3-46BF-A423-6CD09504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7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7E2"/>
    <w:pPr>
      <w:ind w:left="720"/>
      <w:contextualSpacing/>
    </w:pPr>
  </w:style>
  <w:style w:type="table" w:styleId="TableGrid">
    <w:name w:val="Table Grid"/>
    <w:basedOn w:val="TableNormal"/>
    <w:uiPriority w:val="39"/>
    <w:rsid w:val="00671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0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473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622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251"/>
  </w:style>
  <w:style w:type="paragraph" w:styleId="Footer">
    <w:name w:val="footer"/>
    <w:basedOn w:val="Normal"/>
    <w:link w:val="FooterChar"/>
    <w:uiPriority w:val="99"/>
    <w:unhideWhenUsed/>
    <w:rsid w:val="004622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251"/>
  </w:style>
  <w:style w:type="paragraph" w:styleId="FootnoteText">
    <w:name w:val="footnote text"/>
    <w:basedOn w:val="Normal"/>
    <w:link w:val="FootnoteTextChar"/>
    <w:rsid w:val="00A56F02"/>
    <w:pPr>
      <w:suppressAutoHyphens/>
      <w:autoSpaceDN w:val="0"/>
      <w:spacing w:after="60" w:line="240" w:lineRule="auto"/>
      <w:ind w:left="284"/>
      <w:textAlignment w:val="baseline"/>
    </w:pPr>
    <w:rPr>
      <w:rFonts w:ascii="Arial" w:eastAsia="Times New Roman" w:hAnsi="Arial" w:cs="Times New Roman"/>
      <w:color w:val="0D0D0D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A56F02"/>
    <w:rPr>
      <w:rFonts w:ascii="Arial" w:eastAsia="Times New Roman" w:hAnsi="Arial" w:cs="Times New Roman"/>
      <w:color w:val="0D0D0D"/>
      <w:sz w:val="20"/>
      <w:szCs w:val="20"/>
      <w:lang w:eastAsia="en-GB"/>
    </w:rPr>
  </w:style>
  <w:style w:type="paragraph" w:customStyle="1" w:styleId="DfESOutNumbered1">
    <w:name w:val="DfESOutNumbered1"/>
    <w:basedOn w:val="Normal"/>
    <w:rsid w:val="00D809BE"/>
    <w:pPr>
      <w:numPr>
        <w:numId w:val="21"/>
      </w:numPr>
      <w:suppressAutoHyphens/>
      <w:autoSpaceDN w:val="0"/>
      <w:spacing w:after="240" w:line="288" w:lineRule="auto"/>
      <w:textAlignment w:val="baseline"/>
    </w:pPr>
    <w:rPr>
      <w:rFonts w:ascii="Arial" w:eastAsia="Times New Roman" w:hAnsi="Arial" w:cs="Times New Roman"/>
      <w:color w:val="0D0D0D"/>
      <w:sz w:val="24"/>
      <w:szCs w:val="24"/>
      <w:lang w:eastAsia="en-GB"/>
    </w:rPr>
  </w:style>
  <w:style w:type="numbering" w:customStyle="1" w:styleId="LFO3">
    <w:name w:val="LFO3"/>
    <w:basedOn w:val="NoList"/>
    <w:rsid w:val="00D809BE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C3D8-4D61-40E3-8E72-D10D5AFB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 722 School Forum Dec 2017 Central School Services Block</dc:title>
  <dc:subject>
  </dc:subject>
  <dc:creator>Chris Allcock (Childrens Services)</dc:creator>
  <cp:keywords>
  </cp:keywords>
  <dc:description>
  </dc:description>
  <cp:lastModifiedBy>Jo Armstrong</cp:lastModifiedBy>
  <cp:revision>11</cp:revision>
  <cp:lastPrinted>2017-11-30T16:36:00Z</cp:lastPrinted>
  <dcterms:created xsi:type="dcterms:W3CDTF">2017-12-05T12:14:00Z</dcterms:created>
  <dcterms:modified xsi:type="dcterms:W3CDTF">2017-12-19T14:31:40Z</dcterms:modified>
</cp:coreProperties>
</file>