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b/>
          <w:noProof/>
          <w:sz w:val="26"/>
          <w:szCs w:val="26"/>
          <w:u w:val="single"/>
          <w:lang w:eastAsia="en-GB"/>
        </w:rPr>
        <mc:AlternateContent>
          <mc:Choice Requires="wps">
            <w:drawing>
              <wp:anchor distT="0" distB="0" distL="114300" distR="114300" simplePos="0" relativeHeight="251660288" behindDoc="0" locked="0" layoutInCell="1" allowOverlap="1" wp14:editId="225ECD25" wp14:anchorId="3D813F1B">
                <wp:simplePos x="0" y="0"/>
                <wp:positionH relativeFrom="column">
                  <wp:posOffset>4891722</wp:posOffset>
                </wp:positionH>
                <wp:positionV relativeFrom="paragraph">
                  <wp:posOffset>15240</wp:posOffset>
                </wp:positionV>
                <wp:extent cx="2007393"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393" cy="1403985"/>
                        </a:xfrm>
                        <a:prstGeom prst="rect">
                          <a:avLst/>
                        </a:prstGeom>
                        <a:solidFill>
                          <a:srgbClr val="FFFFFF"/>
                        </a:solidFill>
                        <a:ln w="9525">
                          <a:noFill/>
                          <a:miter lim="800000"/>
                          <a:headEnd/>
                          <a:tailEnd/>
                        </a:ln>
                      </wps:spPr>
                      <wps:txbx>
                        <w:txbxContent>
                          <w:p w:rsidRPr="00345979" w:rsidR="00AF3717" w:rsidP="00296F6D" w:rsidRDefault="00AF3717">
                            <w:pPr>
                              <w:ind w:left="851"/>
                              <w:rPr>
                                <w:rFonts w:ascii="Arial" w:hAnsi="Arial" w:cs="Arial"/>
                                <w:sz w:val="26"/>
                                <w:szCs w:val="26"/>
                              </w:rPr>
                            </w:pPr>
                            <w:r w:rsidRPr="00345979">
                              <w:rPr>
                                <w:rFonts w:ascii="Arial" w:hAnsi="Arial" w:cs="Arial"/>
                                <w:sz w:val="26"/>
                                <w:szCs w:val="26"/>
                              </w:rPr>
                              <w:t xml:space="preserve">Agenda Item </w:t>
                            </w:r>
                            <w:r w:rsidR="0072662F">
                              <w:rPr>
                                <w:rFonts w:ascii="Arial" w:hAnsi="Arial" w:cs="Arial"/>
                                <w:sz w:val="26"/>
                                <w:szCs w:val="26"/>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3D813F1B">
                <v:stroke joinstyle="miter"/>
                <v:path gradientshapeok="t" o:connecttype="rect"/>
              </v:shapetype>
              <v:shape id="Text Box 2" style="position:absolute;left:0;text-align:left;margin-left:385.15pt;margin-top:1.2pt;width:158.0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">
                <v:textbox style="mso-fit-shape-to-text:t">
                  <w:txbxContent>
                    <w:p w:rsidRPr="00345979" w:rsidR="00AF3717" w:rsidP="00296F6D" w:rsidRDefault="00AF3717">
                      <w:pPr>
                        <w:ind w:left="851"/>
                        <w:rPr>
                          <w:rFonts w:ascii="Arial" w:hAnsi="Arial" w:cs="Arial"/>
                          <w:sz w:val="26"/>
                          <w:szCs w:val="26"/>
                        </w:rPr>
                      </w:pPr>
                      <w:r w:rsidRPr="00345979">
                        <w:rPr>
                          <w:rFonts w:ascii="Arial" w:hAnsi="Arial" w:cs="Arial"/>
                          <w:sz w:val="26"/>
                          <w:szCs w:val="26"/>
                        </w:rPr>
                        <w:t xml:space="preserve">Agenda Item </w:t>
                      </w:r>
                      <w:r w:rsidR="0072662F">
                        <w:rPr>
                          <w:rFonts w:ascii="Arial" w:hAnsi="Arial" w:cs="Arial"/>
                          <w:sz w:val="26"/>
                          <w:szCs w:val="26"/>
                        </w:rPr>
                        <w:t>7</w:t>
                      </w:r>
                    </w:p>
                  </w:txbxContent>
                </v:textbox>
              </v:shape>
            </w:pict>
          </mc:Fallback>
        </mc:AlternateContent>
      </w:r>
      <w:r w:rsidRPr="00173565">
        <w:rPr>
          <w:rFonts w:ascii="Arial" w:hAnsi="Arial" w:cs="Arial"/>
          <w:b/>
          <w:noProof/>
          <w:sz w:val="26"/>
          <w:szCs w:val="26"/>
          <w:u w:val="single"/>
          <w:lang w:eastAsia="en-GB"/>
        </w:rPr>
        <mc:AlternateContent>
          <mc:Choice Requires="wps">
            <w:drawing>
              <wp:anchor distT="0" distB="0" distL="114300" distR="114300" simplePos="0" relativeHeight="251659264" behindDoc="0" locked="0" layoutInCell="1" allowOverlap="1" wp14:editId="16BD76A7" wp14:anchorId="29F0D238">
                <wp:simplePos x="0" y="0"/>
                <wp:positionH relativeFrom="column">
                  <wp:posOffset>0</wp:posOffset>
                </wp:positionH>
                <wp:positionV relativeFrom="paragraph">
                  <wp:posOffset>-635</wp:posOffset>
                </wp:positionV>
                <wp:extent cx="90043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403985"/>
                        </a:xfrm>
                        <a:prstGeom prst="rect">
                          <a:avLst/>
                        </a:prstGeom>
                        <a:solidFill>
                          <a:srgbClr val="FFFFFF"/>
                        </a:solidFill>
                        <a:ln w="9525">
                          <a:noFill/>
                          <a:miter lim="800000"/>
                          <a:headEnd/>
                          <a:tailEnd/>
                        </a:ln>
                      </wps:spPr>
                      <wps:txbx>
                        <w:txbxContent>
                          <w:p w:rsidRPr="00345979" w:rsidR="00AF3717" w:rsidP="007C57E2" w:rsidRDefault="00AF3717">
                            <w:pPr>
                              <w:rPr>
                                <w:rFonts w:ascii="Arial" w:hAnsi="Arial" w:cs="Arial"/>
                                <w:sz w:val="26"/>
                                <w:szCs w:val="26"/>
                              </w:rPr>
                            </w:pPr>
                            <w:r w:rsidRPr="00345979">
                              <w:rPr>
                                <w:rFonts w:ascii="Arial" w:hAnsi="Arial" w:cs="Arial"/>
                                <w:sz w:val="26"/>
                                <w:szCs w:val="26"/>
                              </w:rPr>
                              <w:t>Rep 7</w:t>
                            </w:r>
                            <w:r>
                              <w:rPr>
                                <w:rFonts w:ascii="Arial" w:hAnsi="Arial" w:cs="Arial"/>
                                <w:sz w:val="26"/>
                                <w:szCs w:val="26"/>
                              </w:rPr>
                              <w:t>2</w:t>
                            </w:r>
                            <w:r w:rsidR="002341A3">
                              <w:rPr>
                                <w:rFonts w:ascii="Arial" w:hAnsi="Arial" w:cs="Arial"/>
                                <w:sz w:val="26"/>
                                <w:szCs w:val="26"/>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style="position:absolute;left:0;text-align:left;margin-left:0;margin-top:-.05pt;width:7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" w14:anchorId="29F0D238">
                <v:textbox style="mso-fit-shape-to-text:t">
                  <w:txbxContent>
                    <w:p w:rsidRPr="00345979" w:rsidR="00AF3717" w:rsidP="007C57E2" w:rsidRDefault="00AF3717">
                      <w:pPr>
                        <w:rPr>
                          <w:rFonts w:ascii="Arial" w:hAnsi="Arial" w:cs="Arial"/>
                          <w:sz w:val="26"/>
                          <w:szCs w:val="26"/>
                        </w:rPr>
                      </w:pPr>
                      <w:r w:rsidRPr="00345979">
                        <w:rPr>
                          <w:rFonts w:ascii="Arial" w:hAnsi="Arial" w:cs="Arial"/>
                          <w:sz w:val="26"/>
                          <w:szCs w:val="26"/>
                        </w:rPr>
                        <w:t>Rep 7</w:t>
                      </w:r>
                      <w:r>
                        <w:rPr>
                          <w:rFonts w:ascii="Arial" w:hAnsi="Arial" w:cs="Arial"/>
                          <w:sz w:val="26"/>
                          <w:szCs w:val="26"/>
                        </w:rPr>
                        <w:t>2</w:t>
                      </w:r>
                      <w:r w:rsidR="002341A3">
                        <w:rPr>
                          <w:rFonts w:ascii="Arial" w:hAnsi="Arial" w:cs="Arial"/>
                          <w:sz w:val="26"/>
                          <w:szCs w:val="26"/>
                        </w:rPr>
                        <w:t>1</w:t>
                      </w:r>
                    </w:p>
                  </w:txbxContent>
                </v:textbox>
              </v:shape>
            </w:pict>
          </mc:Fallback>
        </mc:AlternateContent>
      </w:r>
      <w:r w:rsidRPr="00173565">
        <w:rPr>
          <w:rFonts w:ascii="Arial" w:hAnsi="Arial" w:cs="Arial"/>
          <w:sz w:val="26"/>
          <w:szCs w:val="26"/>
          <w:u w:val="single"/>
        </w:rPr>
        <w:t>DERBYSHIRE COUNTY COUNCIL</w:t>
      </w:r>
    </w:p>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sz w:val="26"/>
          <w:szCs w:val="26"/>
          <w:u w:val="single"/>
        </w:rPr>
        <w:t>SCHOOL</w:t>
      </w:r>
      <w:r>
        <w:rPr>
          <w:rFonts w:ascii="Arial" w:hAnsi="Arial" w:cs="Arial"/>
          <w:sz w:val="26"/>
          <w:szCs w:val="26"/>
          <w:u w:val="single"/>
        </w:rPr>
        <w:t>S</w:t>
      </w:r>
      <w:r w:rsidRPr="00173565">
        <w:rPr>
          <w:rFonts w:ascii="Arial" w:hAnsi="Arial" w:cs="Arial"/>
          <w:sz w:val="26"/>
          <w:szCs w:val="26"/>
          <w:u w:val="single"/>
        </w:rPr>
        <w:t xml:space="preserve"> FORUM</w:t>
      </w:r>
    </w:p>
    <w:p w:rsidRPr="00173565" w:rsidR="007C57E2" w:rsidP="007C57E2" w:rsidRDefault="002E3E7B">
      <w:pPr>
        <w:spacing w:after="120" w:line="240" w:lineRule="auto"/>
        <w:jc w:val="center"/>
        <w:rPr>
          <w:rFonts w:ascii="Arial" w:hAnsi="Arial" w:cs="Arial"/>
          <w:sz w:val="26"/>
          <w:szCs w:val="26"/>
          <w:u w:val="single"/>
        </w:rPr>
      </w:pPr>
      <w:r>
        <w:rPr>
          <w:rFonts w:ascii="Arial" w:hAnsi="Arial" w:cs="Arial"/>
          <w:sz w:val="26"/>
          <w:szCs w:val="26"/>
          <w:u w:val="single"/>
        </w:rPr>
        <w:t xml:space="preserve">14 December </w:t>
      </w:r>
      <w:r w:rsidRPr="00173565" w:rsidR="007C57E2">
        <w:rPr>
          <w:rFonts w:ascii="Arial" w:hAnsi="Arial" w:cs="Arial"/>
          <w:sz w:val="26"/>
          <w:szCs w:val="26"/>
          <w:u w:val="single"/>
        </w:rPr>
        <w:t>2017</w:t>
      </w:r>
    </w:p>
    <w:p w:rsidRPr="00173565" w:rsidR="007C57E2" w:rsidP="007C57E2" w:rsidRDefault="007C57E2">
      <w:pPr>
        <w:spacing w:after="120" w:line="240" w:lineRule="auto"/>
        <w:jc w:val="center"/>
        <w:rPr>
          <w:rFonts w:ascii="Arial" w:hAnsi="Arial" w:cs="Arial"/>
          <w:sz w:val="26"/>
          <w:szCs w:val="26"/>
          <w:u w:val="single"/>
        </w:rPr>
      </w:pPr>
      <w:r w:rsidRPr="00173565">
        <w:rPr>
          <w:rFonts w:ascii="Arial" w:hAnsi="Arial" w:cs="Arial"/>
          <w:sz w:val="26"/>
          <w:szCs w:val="26"/>
          <w:u w:val="single"/>
        </w:rPr>
        <w:t>Report of the Strategic Director for Children’s Services</w:t>
      </w:r>
    </w:p>
    <w:p w:rsidR="007C57E2" w:rsidP="007C57E2" w:rsidRDefault="002341A3">
      <w:pPr>
        <w:spacing w:after="120" w:line="240" w:lineRule="auto"/>
        <w:jc w:val="center"/>
        <w:rPr>
          <w:rFonts w:ascii="Arial" w:hAnsi="Arial" w:cs="Arial"/>
          <w:sz w:val="26"/>
          <w:szCs w:val="26"/>
          <w:u w:val="single"/>
        </w:rPr>
      </w:pPr>
      <w:r>
        <w:rPr>
          <w:rFonts w:ascii="Arial" w:hAnsi="Arial" w:cs="Arial"/>
          <w:sz w:val="26"/>
          <w:szCs w:val="26"/>
          <w:u w:val="single"/>
        </w:rPr>
        <w:t xml:space="preserve">Growth </w:t>
      </w:r>
      <w:r w:rsidR="009633AA">
        <w:rPr>
          <w:rFonts w:ascii="Arial" w:hAnsi="Arial" w:cs="Arial"/>
          <w:sz w:val="26"/>
          <w:szCs w:val="26"/>
          <w:u w:val="single"/>
        </w:rPr>
        <w:t xml:space="preserve">and Falling Rolls </w:t>
      </w:r>
      <w:r>
        <w:rPr>
          <w:rFonts w:ascii="Arial" w:hAnsi="Arial" w:cs="Arial"/>
          <w:sz w:val="26"/>
          <w:szCs w:val="26"/>
          <w:u w:val="single"/>
        </w:rPr>
        <w:t>Funds</w:t>
      </w:r>
    </w:p>
    <w:p w:rsidRPr="00173565" w:rsidR="007C57E2" w:rsidP="007C57E2" w:rsidRDefault="007C57E2">
      <w:pPr>
        <w:pStyle w:val="ListParagraph"/>
        <w:numPr>
          <w:ilvl w:val="0"/>
          <w:numId w:val="1"/>
        </w:numPr>
        <w:spacing w:after="0" w:line="240" w:lineRule="auto"/>
        <w:ind w:left="1418" w:hanging="992"/>
        <w:rPr>
          <w:rFonts w:ascii="Arial" w:hAnsi="Arial" w:cs="Arial"/>
          <w:sz w:val="26"/>
          <w:szCs w:val="26"/>
        </w:rPr>
      </w:pPr>
      <w:r w:rsidRPr="00173565">
        <w:rPr>
          <w:rFonts w:ascii="Arial" w:hAnsi="Arial" w:cs="Arial"/>
          <w:sz w:val="26"/>
          <w:szCs w:val="26"/>
          <w:u w:val="single"/>
        </w:rPr>
        <w:t>Purpose of the Report</w:t>
      </w:r>
    </w:p>
    <w:p w:rsidR="007C57E2" w:rsidP="007C57E2" w:rsidRDefault="007C57E2">
      <w:pPr>
        <w:pStyle w:val="ListParagraph"/>
        <w:spacing w:after="0" w:line="240" w:lineRule="auto"/>
        <w:rPr>
          <w:rFonts w:ascii="Arial" w:hAnsi="Arial" w:cs="Arial"/>
          <w:sz w:val="26"/>
          <w:szCs w:val="26"/>
        </w:rPr>
      </w:pPr>
    </w:p>
    <w:p w:rsidR="00E11297" w:rsidP="007C57E2" w:rsidRDefault="006A5091">
      <w:pPr>
        <w:pStyle w:val="ListParagraph"/>
        <w:spacing w:after="0" w:line="240" w:lineRule="auto"/>
        <w:rPr>
          <w:rFonts w:ascii="Arial" w:hAnsi="Arial" w:cs="Arial"/>
          <w:sz w:val="26"/>
          <w:szCs w:val="26"/>
        </w:rPr>
      </w:pPr>
      <w:r>
        <w:rPr>
          <w:rFonts w:ascii="Arial" w:hAnsi="Arial" w:cs="Arial"/>
          <w:sz w:val="26"/>
          <w:szCs w:val="26"/>
        </w:rPr>
        <w:t xml:space="preserve">To seek Schools Forum </w:t>
      </w:r>
      <w:r w:rsidR="00E11297">
        <w:rPr>
          <w:rFonts w:ascii="Arial" w:hAnsi="Arial" w:cs="Arial"/>
          <w:sz w:val="26"/>
          <w:szCs w:val="26"/>
        </w:rPr>
        <w:t xml:space="preserve">decisions on the level and application of </w:t>
      </w:r>
      <w:r>
        <w:rPr>
          <w:rFonts w:ascii="Arial" w:hAnsi="Arial" w:cs="Arial"/>
          <w:sz w:val="26"/>
          <w:szCs w:val="26"/>
        </w:rPr>
        <w:t xml:space="preserve">growth funds for </w:t>
      </w:r>
    </w:p>
    <w:p w:rsidR="006A5091" w:rsidP="007C57E2" w:rsidRDefault="006A5091">
      <w:pPr>
        <w:pStyle w:val="ListParagraph"/>
        <w:spacing w:after="0" w:line="240" w:lineRule="auto"/>
        <w:rPr>
          <w:rFonts w:ascii="Arial" w:hAnsi="Arial" w:cs="Arial"/>
          <w:sz w:val="26"/>
          <w:szCs w:val="26"/>
        </w:rPr>
      </w:pPr>
      <w:r>
        <w:rPr>
          <w:rFonts w:ascii="Arial" w:hAnsi="Arial" w:cs="Arial"/>
          <w:sz w:val="26"/>
          <w:szCs w:val="26"/>
        </w:rPr>
        <w:t>2018-19.</w:t>
      </w:r>
    </w:p>
    <w:p w:rsidR="007C57E2" w:rsidP="002E3E7B" w:rsidRDefault="007C57E2">
      <w:pPr>
        <w:pStyle w:val="ListParagraph"/>
        <w:spacing w:after="0" w:line="240" w:lineRule="auto"/>
        <w:rPr>
          <w:rFonts w:ascii="Arial" w:hAnsi="Arial" w:cs="Arial"/>
          <w:sz w:val="26"/>
          <w:szCs w:val="26"/>
        </w:rPr>
      </w:pPr>
    </w:p>
    <w:p w:rsidRPr="00173565" w:rsidR="007C57E2" w:rsidP="007C57E2" w:rsidRDefault="007C57E2">
      <w:pPr>
        <w:pStyle w:val="ListParagraph"/>
        <w:numPr>
          <w:ilvl w:val="0"/>
          <w:numId w:val="1"/>
        </w:numPr>
        <w:spacing w:after="0" w:line="240" w:lineRule="auto"/>
        <w:ind w:left="1418" w:hanging="992"/>
        <w:rPr>
          <w:rFonts w:ascii="Arial" w:hAnsi="Arial" w:cs="Arial"/>
          <w:sz w:val="26"/>
          <w:szCs w:val="26"/>
          <w:u w:val="single"/>
        </w:rPr>
      </w:pPr>
      <w:r w:rsidRPr="00173565">
        <w:rPr>
          <w:rFonts w:ascii="Arial" w:hAnsi="Arial" w:cs="Arial"/>
          <w:sz w:val="26"/>
          <w:szCs w:val="26"/>
          <w:u w:val="single"/>
        </w:rPr>
        <w:t>Information and Analysis</w:t>
      </w:r>
    </w:p>
    <w:p w:rsidR="007C57E2" w:rsidP="007C57E2" w:rsidRDefault="007C57E2">
      <w:pPr>
        <w:pStyle w:val="ListParagraph"/>
        <w:spacing w:after="0" w:line="240" w:lineRule="auto"/>
        <w:rPr>
          <w:rFonts w:ascii="Arial" w:hAnsi="Arial" w:cs="Arial"/>
          <w:sz w:val="26"/>
          <w:szCs w:val="26"/>
        </w:rPr>
      </w:pPr>
    </w:p>
    <w:p w:rsidR="006A5091" w:rsidP="007C57E2" w:rsidRDefault="006A5091">
      <w:pPr>
        <w:pStyle w:val="ListParagraph"/>
        <w:spacing w:after="0" w:line="240" w:lineRule="auto"/>
        <w:rPr>
          <w:rFonts w:ascii="Arial" w:hAnsi="Arial" w:cs="Arial"/>
          <w:sz w:val="26"/>
          <w:szCs w:val="26"/>
        </w:rPr>
      </w:pPr>
      <w:r>
        <w:rPr>
          <w:rFonts w:ascii="Arial" w:hAnsi="Arial" w:cs="Arial"/>
          <w:sz w:val="26"/>
          <w:szCs w:val="26"/>
        </w:rPr>
        <w:t>The Authority currently has only one centrally held growth fund which relates to the support provided to primary and infant schools to help meet the costs of Key Stage 1 class sizes. There are several other circumstances in which LA</w:t>
      </w:r>
      <w:r w:rsidR="00594D48">
        <w:rPr>
          <w:rFonts w:ascii="Arial" w:hAnsi="Arial" w:cs="Arial"/>
          <w:sz w:val="26"/>
          <w:szCs w:val="26"/>
        </w:rPr>
        <w:t>s</w:t>
      </w:r>
      <w:r>
        <w:rPr>
          <w:rFonts w:ascii="Arial" w:hAnsi="Arial" w:cs="Arial"/>
          <w:sz w:val="26"/>
          <w:szCs w:val="26"/>
        </w:rPr>
        <w:t xml:space="preserve"> can hold </w:t>
      </w:r>
      <w:r w:rsidR="00C7442B">
        <w:rPr>
          <w:rFonts w:ascii="Arial" w:hAnsi="Arial" w:cs="Arial"/>
          <w:sz w:val="26"/>
          <w:szCs w:val="26"/>
        </w:rPr>
        <w:t xml:space="preserve">Schools Block </w:t>
      </w:r>
      <w:r>
        <w:rPr>
          <w:rFonts w:ascii="Arial" w:hAnsi="Arial" w:cs="Arial"/>
          <w:sz w:val="26"/>
          <w:szCs w:val="26"/>
        </w:rPr>
        <w:t>funding centrally and these are as follows:</w:t>
      </w:r>
    </w:p>
    <w:p w:rsidR="006A5091" w:rsidP="007C57E2" w:rsidRDefault="006A5091">
      <w:pPr>
        <w:pStyle w:val="ListParagraph"/>
        <w:spacing w:after="0" w:line="240" w:lineRule="auto"/>
        <w:rPr>
          <w:rFonts w:ascii="Arial" w:hAnsi="Arial" w:cs="Arial"/>
          <w:sz w:val="26"/>
          <w:szCs w:val="26"/>
        </w:rPr>
      </w:pPr>
    </w:p>
    <w:p w:rsidR="006A5091" w:rsidP="007C57E2" w:rsidRDefault="00A3261C">
      <w:pPr>
        <w:pStyle w:val="ListParagraph"/>
        <w:numPr>
          <w:ilvl w:val="0"/>
          <w:numId w:val="14"/>
        </w:numPr>
        <w:spacing w:after="0" w:line="240" w:lineRule="auto"/>
        <w:rPr>
          <w:rFonts w:ascii="Arial" w:hAnsi="Arial" w:cs="Arial"/>
          <w:sz w:val="26"/>
          <w:szCs w:val="26"/>
        </w:rPr>
      </w:pPr>
      <w:r>
        <w:rPr>
          <w:rFonts w:ascii="Arial" w:hAnsi="Arial" w:cs="Arial"/>
          <w:sz w:val="26"/>
          <w:szCs w:val="26"/>
        </w:rPr>
        <w:t>To meet the cost of i</w:t>
      </w:r>
      <w:r w:rsidRPr="006A5091" w:rsidR="006A5091">
        <w:rPr>
          <w:rFonts w:ascii="Arial" w:hAnsi="Arial" w:cs="Arial"/>
          <w:sz w:val="26"/>
          <w:szCs w:val="26"/>
        </w:rPr>
        <w:t>n year increases in pupil numbers;</w:t>
      </w:r>
    </w:p>
    <w:p w:rsidR="006A5091" w:rsidP="007C57E2" w:rsidRDefault="006A5091">
      <w:pPr>
        <w:pStyle w:val="ListParagraph"/>
        <w:numPr>
          <w:ilvl w:val="0"/>
          <w:numId w:val="14"/>
        </w:numPr>
        <w:spacing w:after="0" w:line="240" w:lineRule="auto"/>
        <w:rPr>
          <w:rFonts w:ascii="Arial" w:hAnsi="Arial" w:cs="Arial"/>
          <w:sz w:val="26"/>
          <w:szCs w:val="26"/>
        </w:rPr>
      </w:pPr>
      <w:r w:rsidRPr="006A5091">
        <w:rPr>
          <w:rFonts w:ascii="Arial" w:hAnsi="Arial" w:cs="Arial"/>
          <w:sz w:val="26"/>
          <w:szCs w:val="26"/>
        </w:rPr>
        <w:t>To provide support to new free schools; and</w:t>
      </w:r>
    </w:p>
    <w:p w:rsidRPr="006A5091" w:rsidR="006A5091" w:rsidP="007C57E2" w:rsidRDefault="006A5091">
      <w:pPr>
        <w:pStyle w:val="ListParagraph"/>
        <w:numPr>
          <w:ilvl w:val="0"/>
          <w:numId w:val="14"/>
        </w:numPr>
        <w:spacing w:after="0" w:line="240" w:lineRule="auto"/>
        <w:rPr>
          <w:rFonts w:ascii="Arial" w:hAnsi="Arial" w:cs="Arial"/>
          <w:sz w:val="26"/>
          <w:szCs w:val="26"/>
        </w:rPr>
      </w:pPr>
      <w:r w:rsidRPr="006A5091">
        <w:rPr>
          <w:rFonts w:ascii="Arial" w:hAnsi="Arial" w:cs="Arial"/>
          <w:sz w:val="26"/>
          <w:szCs w:val="26"/>
        </w:rPr>
        <w:t xml:space="preserve">To provide </w:t>
      </w:r>
      <w:r w:rsidR="00C7442B">
        <w:rPr>
          <w:rFonts w:ascii="Arial" w:hAnsi="Arial" w:cs="Arial"/>
          <w:sz w:val="26"/>
          <w:szCs w:val="26"/>
        </w:rPr>
        <w:t xml:space="preserve">temporary </w:t>
      </w:r>
      <w:r w:rsidRPr="006A5091">
        <w:rPr>
          <w:rFonts w:ascii="Arial" w:hAnsi="Arial" w:cs="Arial"/>
          <w:sz w:val="26"/>
          <w:szCs w:val="26"/>
        </w:rPr>
        <w:t xml:space="preserve">support to good or outstanding schools which have </w:t>
      </w:r>
      <w:r w:rsidR="00C7442B">
        <w:rPr>
          <w:rFonts w:ascii="Arial" w:hAnsi="Arial" w:cs="Arial"/>
          <w:sz w:val="26"/>
          <w:szCs w:val="26"/>
        </w:rPr>
        <w:t>falling rolls</w:t>
      </w:r>
      <w:r w:rsidRPr="006A5091">
        <w:rPr>
          <w:rFonts w:ascii="Arial" w:hAnsi="Arial" w:cs="Arial"/>
          <w:sz w:val="26"/>
          <w:szCs w:val="26"/>
        </w:rPr>
        <w:t>.</w:t>
      </w:r>
    </w:p>
    <w:p w:rsidR="006A5091" w:rsidP="007C57E2" w:rsidRDefault="006A5091">
      <w:pPr>
        <w:pStyle w:val="ListParagraph"/>
        <w:spacing w:after="0" w:line="240" w:lineRule="auto"/>
        <w:rPr>
          <w:rFonts w:ascii="Arial" w:hAnsi="Arial" w:cs="Arial"/>
          <w:sz w:val="26"/>
          <w:szCs w:val="26"/>
        </w:rPr>
      </w:pPr>
    </w:p>
    <w:p w:rsidR="00D14230" w:rsidP="007C57E2" w:rsidRDefault="00D14230">
      <w:pPr>
        <w:pStyle w:val="ListParagraph"/>
        <w:spacing w:after="0" w:line="240" w:lineRule="auto"/>
        <w:rPr>
          <w:rFonts w:ascii="Arial" w:hAnsi="Arial" w:cs="Arial"/>
          <w:sz w:val="26"/>
          <w:szCs w:val="26"/>
        </w:rPr>
      </w:pPr>
      <w:r>
        <w:rPr>
          <w:rFonts w:ascii="Arial" w:hAnsi="Arial" w:cs="Arial"/>
          <w:sz w:val="26"/>
          <w:szCs w:val="26"/>
        </w:rPr>
        <w:t xml:space="preserve">The size of any growth funds and the </w:t>
      </w:r>
      <w:r w:rsidR="00594D48">
        <w:rPr>
          <w:rFonts w:ascii="Arial" w:hAnsi="Arial" w:cs="Arial"/>
          <w:sz w:val="26"/>
          <w:szCs w:val="26"/>
        </w:rPr>
        <w:t>criteria for their application are a matter for the Schools Forum.</w:t>
      </w:r>
    </w:p>
    <w:p w:rsidR="00D14230" w:rsidP="007C57E2" w:rsidRDefault="00D14230">
      <w:pPr>
        <w:pStyle w:val="ListParagraph"/>
        <w:spacing w:after="0" w:line="240" w:lineRule="auto"/>
        <w:rPr>
          <w:rFonts w:ascii="Arial" w:hAnsi="Arial" w:cs="Arial"/>
          <w:sz w:val="26"/>
          <w:szCs w:val="26"/>
        </w:rPr>
      </w:pPr>
    </w:p>
    <w:p w:rsidR="00D14230" w:rsidP="00D14230" w:rsidRDefault="006A5091">
      <w:pPr>
        <w:pStyle w:val="ListParagraph"/>
        <w:spacing w:after="0" w:line="240" w:lineRule="auto"/>
        <w:rPr>
          <w:rFonts w:ascii="Arial" w:hAnsi="Arial" w:cs="Arial"/>
          <w:sz w:val="26"/>
          <w:szCs w:val="26"/>
        </w:rPr>
      </w:pPr>
      <w:r>
        <w:rPr>
          <w:rFonts w:ascii="Arial" w:hAnsi="Arial" w:cs="Arial"/>
          <w:sz w:val="26"/>
          <w:szCs w:val="26"/>
        </w:rPr>
        <w:t xml:space="preserve">The recent </w:t>
      </w:r>
      <w:r w:rsidR="00D14230">
        <w:rPr>
          <w:rFonts w:ascii="Arial" w:hAnsi="Arial" w:cs="Arial"/>
          <w:sz w:val="26"/>
          <w:szCs w:val="26"/>
        </w:rPr>
        <w:t xml:space="preserve">mainstream </w:t>
      </w:r>
      <w:r>
        <w:rPr>
          <w:rFonts w:ascii="Arial" w:hAnsi="Arial" w:cs="Arial"/>
          <w:sz w:val="26"/>
          <w:szCs w:val="26"/>
        </w:rPr>
        <w:t xml:space="preserve">consultation </w:t>
      </w:r>
      <w:r w:rsidR="00D14230">
        <w:rPr>
          <w:rFonts w:ascii="Arial" w:hAnsi="Arial" w:cs="Arial"/>
          <w:sz w:val="26"/>
          <w:szCs w:val="26"/>
        </w:rPr>
        <w:t xml:space="preserve">asked schools about their views on the creation of all of </w:t>
      </w:r>
      <w:r w:rsidR="00594D48">
        <w:rPr>
          <w:rFonts w:ascii="Arial" w:hAnsi="Arial" w:cs="Arial"/>
          <w:sz w:val="26"/>
          <w:szCs w:val="26"/>
        </w:rPr>
        <w:t>the a</w:t>
      </w:r>
      <w:r w:rsidR="00D14230">
        <w:rPr>
          <w:rFonts w:ascii="Arial" w:hAnsi="Arial" w:cs="Arial"/>
          <w:sz w:val="26"/>
          <w:szCs w:val="26"/>
        </w:rPr>
        <w:t>bove funds</w:t>
      </w:r>
      <w:r>
        <w:rPr>
          <w:rFonts w:ascii="Arial" w:hAnsi="Arial" w:cs="Arial"/>
          <w:sz w:val="26"/>
          <w:szCs w:val="26"/>
        </w:rPr>
        <w:t>. The feedback from the consultation</w:t>
      </w:r>
      <w:r w:rsidR="00D14230">
        <w:rPr>
          <w:rFonts w:ascii="Arial" w:hAnsi="Arial" w:cs="Arial"/>
          <w:sz w:val="26"/>
          <w:szCs w:val="26"/>
        </w:rPr>
        <w:t xml:space="preserve">, </w:t>
      </w:r>
      <w:r>
        <w:rPr>
          <w:rFonts w:ascii="Arial" w:hAnsi="Arial" w:cs="Arial"/>
          <w:sz w:val="26"/>
          <w:szCs w:val="26"/>
        </w:rPr>
        <w:t xml:space="preserve">and the </w:t>
      </w:r>
      <w:r w:rsidR="00D14230">
        <w:rPr>
          <w:rFonts w:ascii="Arial" w:hAnsi="Arial" w:cs="Arial"/>
          <w:sz w:val="26"/>
          <w:szCs w:val="26"/>
        </w:rPr>
        <w:t xml:space="preserve">LA’s proposals going forward, are discussed in the following sections. It must be remembered that </w:t>
      </w:r>
      <w:r w:rsidRPr="00D14230" w:rsidR="00D14230">
        <w:rPr>
          <w:rFonts w:ascii="Arial" w:hAnsi="Arial" w:cs="Arial"/>
          <w:sz w:val="26"/>
          <w:szCs w:val="26"/>
        </w:rPr>
        <w:t xml:space="preserve">growth funds can only be created by a reduction in formula multipliers </w:t>
      </w:r>
      <w:r w:rsidR="00D14230">
        <w:rPr>
          <w:rFonts w:ascii="Arial" w:hAnsi="Arial" w:cs="Arial"/>
          <w:sz w:val="26"/>
          <w:szCs w:val="26"/>
        </w:rPr>
        <w:t>i.e. by delegating slightly less funding to schools. The only exception</w:t>
      </w:r>
      <w:r w:rsidR="00594D48">
        <w:rPr>
          <w:rFonts w:ascii="Arial" w:hAnsi="Arial" w:cs="Arial"/>
          <w:sz w:val="26"/>
          <w:szCs w:val="26"/>
        </w:rPr>
        <w:t xml:space="preserve">, </w:t>
      </w:r>
      <w:r w:rsidR="00D14230">
        <w:rPr>
          <w:rFonts w:ascii="Arial" w:hAnsi="Arial" w:cs="Arial"/>
          <w:sz w:val="26"/>
          <w:szCs w:val="26"/>
        </w:rPr>
        <w:t>in the short term</w:t>
      </w:r>
      <w:r w:rsidR="00594D48">
        <w:rPr>
          <w:rFonts w:ascii="Arial" w:hAnsi="Arial" w:cs="Arial"/>
          <w:sz w:val="26"/>
          <w:szCs w:val="26"/>
        </w:rPr>
        <w:t xml:space="preserve">, </w:t>
      </w:r>
      <w:r w:rsidR="00D14230">
        <w:rPr>
          <w:rFonts w:ascii="Arial" w:hAnsi="Arial" w:cs="Arial"/>
          <w:sz w:val="26"/>
          <w:szCs w:val="26"/>
        </w:rPr>
        <w:t xml:space="preserve">would be to set aside </w:t>
      </w:r>
      <w:r w:rsidR="00594D48">
        <w:rPr>
          <w:rFonts w:ascii="Arial" w:hAnsi="Arial" w:cs="Arial"/>
          <w:sz w:val="26"/>
          <w:szCs w:val="26"/>
        </w:rPr>
        <w:t xml:space="preserve">some funding from </w:t>
      </w:r>
      <w:r w:rsidR="00D14230">
        <w:rPr>
          <w:rFonts w:ascii="Arial" w:hAnsi="Arial" w:cs="Arial"/>
          <w:sz w:val="26"/>
          <w:szCs w:val="26"/>
        </w:rPr>
        <w:t>DSG reserves</w:t>
      </w:r>
      <w:r w:rsidR="00594D48">
        <w:rPr>
          <w:rFonts w:ascii="Arial" w:hAnsi="Arial" w:cs="Arial"/>
          <w:sz w:val="26"/>
          <w:szCs w:val="26"/>
        </w:rPr>
        <w:t xml:space="preserve"> to help meet the cost</w:t>
      </w:r>
      <w:r w:rsidR="00D14230">
        <w:rPr>
          <w:rFonts w:ascii="Arial" w:hAnsi="Arial" w:cs="Arial"/>
          <w:sz w:val="26"/>
          <w:szCs w:val="26"/>
        </w:rPr>
        <w:t xml:space="preserve">. </w:t>
      </w:r>
    </w:p>
    <w:p w:rsidR="00D14230" w:rsidP="00D14230" w:rsidRDefault="00D14230">
      <w:pPr>
        <w:pStyle w:val="ListParagraph"/>
        <w:spacing w:after="0" w:line="240" w:lineRule="auto"/>
        <w:rPr>
          <w:rFonts w:ascii="Arial" w:hAnsi="Arial" w:cs="Arial"/>
          <w:sz w:val="26"/>
          <w:szCs w:val="26"/>
        </w:rPr>
      </w:pPr>
    </w:p>
    <w:p w:rsidRPr="00EE258D" w:rsidR="00D14230" w:rsidP="00EE258D" w:rsidRDefault="00EE258D">
      <w:pPr>
        <w:spacing w:after="0" w:line="240" w:lineRule="auto"/>
        <w:ind w:left="709" w:hanging="283"/>
        <w:rPr>
          <w:rFonts w:ascii="Arial" w:hAnsi="Arial" w:cs="Arial"/>
          <w:sz w:val="26"/>
          <w:szCs w:val="26"/>
        </w:rPr>
      </w:pPr>
      <w:r>
        <w:rPr>
          <w:rFonts w:ascii="Arial" w:hAnsi="Arial" w:cs="Arial"/>
          <w:sz w:val="26"/>
          <w:szCs w:val="26"/>
        </w:rPr>
        <w:t>2.1</w:t>
      </w:r>
      <w:r>
        <w:rPr>
          <w:rFonts w:ascii="Arial" w:hAnsi="Arial" w:cs="Arial"/>
          <w:sz w:val="26"/>
          <w:szCs w:val="26"/>
        </w:rPr>
        <w:tab/>
      </w:r>
      <w:r w:rsidRPr="00EE258D" w:rsidR="00D14230">
        <w:rPr>
          <w:rFonts w:ascii="Arial" w:hAnsi="Arial" w:cs="Arial"/>
          <w:sz w:val="26"/>
          <w:szCs w:val="26"/>
          <w:u w:val="single"/>
        </w:rPr>
        <w:t>In year increases in pupil numbers</w:t>
      </w:r>
      <w:r w:rsidRPr="00EE258D">
        <w:rPr>
          <w:rFonts w:ascii="Arial" w:hAnsi="Arial" w:cs="Arial"/>
          <w:sz w:val="26"/>
          <w:szCs w:val="26"/>
          <w:u w:val="single"/>
        </w:rPr>
        <w:t xml:space="preserve"> (excluding free schools)</w:t>
      </w:r>
    </w:p>
    <w:p w:rsidR="00D14230" w:rsidP="00D14230" w:rsidRDefault="00D14230">
      <w:pPr>
        <w:pStyle w:val="ListParagraph"/>
        <w:spacing w:after="0" w:line="240" w:lineRule="auto"/>
        <w:rPr>
          <w:rFonts w:ascii="Arial" w:hAnsi="Arial" w:cs="Arial"/>
          <w:sz w:val="26"/>
          <w:szCs w:val="26"/>
        </w:rPr>
      </w:pPr>
    </w:p>
    <w:p w:rsidR="00A3261C" w:rsidP="00D14230" w:rsidRDefault="00D14230">
      <w:pPr>
        <w:pStyle w:val="ListParagraph"/>
        <w:spacing w:after="0" w:line="240" w:lineRule="auto"/>
        <w:rPr>
          <w:rFonts w:ascii="Arial" w:hAnsi="Arial" w:cs="Arial"/>
          <w:sz w:val="26"/>
          <w:szCs w:val="26"/>
        </w:rPr>
      </w:pPr>
      <w:r>
        <w:rPr>
          <w:rFonts w:ascii="Arial" w:hAnsi="Arial" w:cs="Arial"/>
          <w:sz w:val="26"/>
          <w:szCs w:val="26"/>
        </w:rPr>
        <w:t>Historically, t</w:t>
      </w:r>
      <w:r w:rsidRPr="00D14230">
        <w:rPr>
          <w:rFonts w:ascii="Arial" w:hAnsi="Arial" w:cs="Arial"/>
          <w:sz w:val="26"/>
          <w:szCs w:val="26"/>
        </w:rPr>
        <w:t xml:space="preserve">here has never been a general growth fund for in-year increases in pupil numbers in Derbyshire. For maintained schools the expectation has been that they would manage any </w:t>
      </w:r>
      <w:r w:rsidR="0066671C">
        <w:rPr>
          <w:rFonts w:ascii="Arial" w:hAnsi="Arial" w:cs="Arial"/>
          <w:sz w:val="26"/>
          <w:szCs w:val="26"/>
        </w:rPr>
        <w:t xml:space="preserve">short term </w:t>
      </w:r>
      <w:r w:rsidRPr="00D14230">
        <w:rPr>
          <w:rFonts w:ascii="Arial" w:hAnsi="Arial" w:cs="Arial"/>
          <w:sz w:val="26"/>
          <w:szCs w:val="26"/>
        </w:rPr>
        <w:t>cost pressures from their balances via a licenced deficit or, in exceptional circumstances, with support from the re-pooled contingency fund. Academies have been required to fund any in-year increases from their own resources.</w:t>
      </w:r>
      <w:r w:rsidR="00F05C52">
        <w:rPr>
          <w:rFonts w:ascii="Arial" w:hAnsi="Arial" w:cs="Arial"/>
          <w:sz w:val="26"/>
          <w:szCs w:val="26"/>
        </w:rPr>
        <w:t xml:space="preserve"> C</w:t>
      </w:r>
      <w:r w:rsidRPr="00F05C52" w:rsidR="00F05C52">
        <w:rPr>
          <w:rFonts w:ascii="Arial" w:hAnsi="Arial" w:cs="Arial"/>
          <w:sz w:val="26"/>
          <w:szCs w:val="26"/>
        </w:rPr>
        <w:t xml:space="preserve">laims </w:t>
      </w:r>
      <w:r w:rsidR="00F05C52">
        <w:rPr>
          <w:rFonts w:ascii="Arial" w:hAnsi="Arial" w:cs="Arial"/>
          <w:sz w:val="26"/>
          <w:szCs w:val="26"/>
        </w:rPr>
        <w:t xml:space="preserve">for in year increases would only be </w:t>
      </w:r>
      <w:r w:rsidR="0066671C">
        <w:rPr>
          <w:rFonts w:ascii="Arial" w:hAnsi="Arial" w:cs="Arial"/>
          <w:sz w:val="26"/>
          <w:szCs w:val="26"/>
        </w:rPr>
        <w:t xml:space="preserve">considered </w:t>
      </w:r>
      <w:r w:rsidR="00F05C52">
        <w:rPr>
          <w:rFonts w:ascii="Arial" w:hAnsi="Arial" w:cs="Arial"/>
          <w:sz w:val="26"/>
          <w:szCs w:val="26"/>
        </w:rPr>
        <w:t xml:space="preserve">eligible </w:t>
      </w:r>
      <w:r w:rsidRPr="00F05C52" w:rsidR="00F05C52">
        <w:rPr>
          <w:rFonts w:ascii="Arial" w:hAnsi="Arial" w:cs="Arial"/>
          <w:sz w:val="26"/>
          <w:szCs w:val="26"/>
        </w:rPr>
        <w:t xml:space="preserve">where the </w:t>
      </w:r>
      <w:r w:rsidR="00F05C52">
        <w:rPr>
          <w:rFonts w:ascii="Arial" w:hAnsi="Arial" w:cs="Arial"/>
          <w:sz w:val="26"/>
          <w:szCs w:val="26"/>
        </w:rPr>
        <w:t xml:space="preserve">increase arose as a </w:t>
      </w:r>
      <w:r w:rsidR="0066671C">
        <w:rPr>
          <w:rFonts w:ascii="Arial" w:hAnsi="Arial" w:cs="Arial"/>
          <w:sz w:val="26"/>
          <w:szCs w:val="26"/>
        </w:rPr>
        <w:t xml:space="preserve">direct </w:t>
      </w:r>
      <w:r w:rsidR="00F05C52">
        <w:rPr>
          <w:rFonts w:ascii="Arial" w:hAnsi="Arial" w:cs="Arial"/>
          <w:sz w:val="26"/>
          <w:szCs w:val="26"/>
        </w:rPr>
        <w:t xml:space="preserve">consequence of the </w:t>
      </w:r>
      <w:r w:rsidRPr="00F05C52" w:rsidR="00F05C52">
        <w:rPr>
          <w:rFonts w:ascii="Arial" w:hAnsi="Arial" w:cs="Arial"/>
          <w:sz w:val="26"/>
          <w:szCs w:val="26"/>
        </w:rPr>
        <w:t>A</w:t>
      </w:r>
      <w:r w:rsidR="00F05C52">
        <w:rPr>
          <w:rFonts w:ascii="Arial" w:hAnsi="Arial" w:cs="Arial"/>
          <w:sz w:val="26"/>
          <w:szCs w:val="26"/>
        </w:rPr>
        <w:t xml:space="preserve">uthority requiring an academy </w:t>
      </w:r>
      <w:r w:rsidRPr="00F05C52" w:rsidR="00F05C52">
        <w:rPr>
          <w:rFonts w:ascii="Arial" w:hAnsi="Arial" w:cs="Arial"/>
          <w:sz w:val="26"/>
          <w:szCs w:val="26"/>
        </w:rPr>
        <w:t xml:space="preserve">to admit a significant number of children. </w:t>
      </w:r>
    </w:p>
    <w:p w:rsidR="00A3261C" w:rsidP="00D14230" w:rsidRDefault="00A3261C">
      <w:pPr>
        <w:pStyle w:val="ListParagraph"/>
        <w:spacing w:after="0" w:line="240" w:lineRule="auto"/>
        <w:rPr>
          <w:rFonts w:ascii="Arial" w:hAnsi="Arial" w:cs="Arial"/>
          <w:sz w:val="26"/>
          <w:szCs w:val="26"/>
        </w:rPr>
      </w:pPr>
    </w:p>
    <w:p w:rsidRPr="00D14230" w:rsidR="00D14230" w:rsidP="00D14230" w:rsidRDefault="00594D48">
      <w:pPr>
        <w:pStyle w:val="ListParagraph"/>
        <w:spacing w:after="0" w:line="240" w:lineRule="auto"/>
        <w:rPr>
          <w:rFonts w:ascii="Arial" w:hAnsi="Arial" w:cs="Arial"/>
          <w:sz w:val="26"/>
          <w:szCs w:val="26"/>
        </w:rPr>
      </w:pPr>
      <w:r>
        <w:rPr>
          <w:rFonts w:ascii="Arial" w:hAnsi="Arial" w:cs="Arial"/>
          <w:sz w:val="26"/>
          <w:szCs w:val="26"/>
        </w:rPr>
        <w:t>The potential need for support aris</w:t>
      </w:r>
      <w:r w:rsidR="00A3261C">
        <w:rPr>
          <w:rFonts w:ascii="Arial" w:hAnsi="Arial" w:cs="Arial"/>
          <w:sz w:val="26"/>
          <w:szCs w:val="26"/>
        </w:rPr>
        <w:t xml:space="preserve">es </w:t>
      </w:r>
      <w:r>
        <w:rPr>
          <w:rFonts w:ascii="Arial" w:hAnsi="Arial" w:cs="Arial"/>
          <w:sz w:val="26"/>
          <w:szCs w:val="26"/>
        </w:rPr>
        <w:t xml:space="preserve">from the </w:t>
      </w:r>
      <w:r w:rsidRPr="00F05C52" w:rsidR="00F05C52">
        <w:rPr>
          <w:rFonts w:ascii="Arial" w:hAnsi="Arial" w:cs="Arial"/>
          <w:sz w:val="26"/>
          <w:szCs w:val="26"/>
        </w:rPr>
        <w:t xml:space="preserve">lagged </w:t>
      </w:r>
      <w:r>
        <w:rPr>
          <w:rFonts w:ascii="Arial" w:hAnsi="Arial" w:cs="Arial"/>
          <w:sz w:val="26"/>
          <w:szCs w:val="26"/>
        </w:rPr>
        <w:t xml:space="preserve">nature of the </w:t>
      </w:r>
      <w:r w:rsidR="00A3261C">
        <w:rPr>
          <w:rFonts w:ascii="Arial" w:hAnsi="Arial" w:cs="Arial"/>
          <w:sz w:val="26"/>
          <w:szCs w:val="26"/>
        </w:rPr>
        <w:t xml:space="preserve">academies’ </w:t>
      </w:r>
      <w:r>
        <w:rPr>
          <w:rFonts w:ascii="Arial" w:hAnsi="Arial" w:cs="Arial"/>
          <w:sz w:val="26"/>
          <w:szCs w:val="26"/>
        </w:rPr>
        <w:t xml:space="preserve">funding.  For example, </w:t>
      </w:r>
      <w:r w:rsidRPr="00F05C52" w:rsidR="00F05C52">
        <w:rPr>
          <w:rFonts w:ascii="Arial" w:hAnsi="Arial" w:cs="Arial"/>
          <w:sz w:val="26"/>
          <w:szCs w:val="26"/>
        </w:rPr>
        <w:t>children admitted in September 2017 would not generate additional funding until the start of the 2018/19 academic year</w:t>
      </w:r>
      <w:r>
        <w:rPr>
          <w:rFonts w:ascii="Arial" w:hAnsi="Arial" w:cs="Arial"/>
          <w:sz w:val="26"/>
          <w:szCs w:val="26"/>
        </w:rPr>
        <w:t xml:space="preserve">, leaving the academy to meet </w:t>
      </w:r>
      <w:r w:rsidR="0066671C">
        <w:rPr>
          <w:rFonts w:ascii="Arial" w:hAnsi="Arial" w:cs="Arial"/>
          <w:sz w:val="26"/>
          <w:szCs w:val="26"/>
        </w:rPr>
        <w:t xml:space="preserve">any additional </w:t>
      </w:r>
      <w:r>
        <w:rPr>
          <w:rFonts w:ascii="Arial" w:hAnsi="Arial" w:cs="Arial"/>
          <w:sz w:val="26"/>
          <w:szCs w:val="26"/>
        </w:rPr>
        <w:t>cost</w:t>
      </w:r>
      <w:r w:rsidR="0066671C">
        <w:rPr>
          <w:rFonts w:ascii="Arial" w:hAnsi="Arial" w:cs="Arial"/>
          <w:sz w:val="26"/>
          <w:szCs w:val="26"/>
        </w:rPr>
        <w:t>s</w:t>
      </w:r>
      <w:r>
        <w:rPr>
          <w:rFonts w:ascii="Arial" w:hAnsi="Arial" w:cs="Arial"/>
          <w:sz w:val="26"/>
          <w:szCs w:val="26"/>
        </w:rPr>
        <w:t xml:space="preserve"> for a full financial year</w:t>
      </w:r>
      <w:r w:rsidRPr="00F05C52" w:rsidR="00F05C52">
        <w:rPr>
          <w:rFonts w:ascii="Arial" w:hAnsi="Arial" w:cs="Arial"/>
          <w:sz w:val="26"/>
          <w:szCs w:val="26"/>
        </w:rPr>
        <w:t>.</w:t>
      </w:r>
    </w:p>
    <w:p w:rsidRPr="00D14230" w:rsidR="00D14230" w:rsidP="00D14230" w:rsidRDefault="00D14230">
      <w:pPr>
        <w:pStyle w:val="ListParagraph"/>
        <w:spacing w:after="0" w:line="240" w:lineRule="auto"/>
        <w:rPr>
          <w:rFonts w:ascii="Arial" w:hAnsi="Arial" w:cs="Arial"/>
          <w:sz w:val="26"/>
          <w:szCs w:val="26"/>
        </w:rPr>
      </w:pPr>
    </w:p>
    <w:p w:rsidR="00A61BC5" w:rsidP="00A61BC5" w:rsidRDefault="00A3261C">
      <w:pPr>
        <w:pStyle w:val="ListParagraph"/>
        <w:spacing w:after="0" w:line="240" w:lineRule="auto"/>
        <w:rPr>
          <w:rFonts w:ascii="Arial" w:hAnsi="Arial" w:cs="Arial"/>
          <w:sz w:val="26"/>
          <w:szCs w:val="26"/>
        </w:rPr>
      </w:pPr>
      <w:r>
        <w:rPr>
          <w:rFonts w:ascii="Arial" w:hAnsi="Arial" w:cs="Arial"/>
          <w:sz w:val="26"/>
          <w:szCs w:val="26"/>
        </w:rPr>
        <w:lastRenderedPageBreak/>
        <w:t xml:space="preserve">Several </w:t>
      </w:r>
      <w:r w:rsidRPr="00A61BC5" w:rsidR="00A61BC5">
        <w:rPr>
          <w:rFonts w:ascii="Arial" w:hAnsi="Arial" w:cs="Arial"/>
          <w:sz w:val="26"/>
          <w:szCs w:val="26"/>
        </w:rPr>
        <w:t>of the consultation responses</w:t>
      </w:r>
      <w:r w:rsidR="00A61BC5">
        <w:rPr>
          <w:rFonts w:ascii="Arial" w:hAnsi="Arial" w:cs="Arial"/>
          <w:sz w:val="26"/>
          <w:szCs w:val="26"/>
        </w:rPr>
        <w:t xml:space="preserve"> indicated some support for the proposal.  However, despite this</w:t>
      </w:r>
      <w:r w:rsidR="00594D48">
        <w:rPr>
          <w:rFonts w:ascii="Arial" w:hAnsi="Arial" w:cs="Arial"/>
          <w:sz w:val="26"/>
          <w:szCs w:val="26"/>
        </w:rPr>
        <w:t>,</w:t>
      </w:r>
      <w:r w:rsidR="00A61BC5">
        <w:rPr>
          <w:rFonts w:ascii="Arial" w:hAnsi="Arial" w:cs="Arial"/>
          <w:sz w:val="26"/>
          <w:szCs w:val="26"/>
        </w:rPr>
        <w:t xml:space="preserve"> there was little support for the fund to be created by top-slicing multipliers, with 36 of 56 </w:t>
      </w:r>
      <w:r w:rsidR="00594D48">
        <w:rPr>
          <w:rFonts w:ascii="Arial" w:hAnsi="Arial" w:cs="Arial"/>
          <w:sz w:val="26"/>
          <w:szCs w:val="26"/>
        </w:rPr>
        <w:t xml:space="preserve">respondents </w:t>
      </w:r>
      <w:r w:rsidR="00A61BC5">
        <w:rPr>
          <w:rFonts w:ascii="Arial" w:hAnsi="Arial" w:cs="Arial"/>
          <w:sz w:val="26"/>
          <w:szCs w:val="26"/>
        </w:rPr>
        <w:t xml:space="preserve">(64.3%) against this approach. </w:t>
      </w:r>
    </w:p>
    <w:p w:rsidR="00A3261C" w:rsidP="00A61BC5" w:rsidRDefault="00A3261C">
      <w:pPr>
        <w:pStyle w:val="ListParagraph"/>
        <w:spacing w:after="0" w:line="240" w:lineRule="auto"/>
        <w:rPr>
          <w:rFonts w:ascii="Arial" w:hAnsi="Arial" w:cs="Arial"/>
          <w:sz w:val="26"/>
          <w:szCs w:val="26"/>
        </w:rPr>
      </w:pPr>
    </w:p>
    <w:p w:rsidRPr="003868FB" w:rsidR="00F05C52" w:rsidP="007C57E2" w:rsidRDefault="00D14230">
      <w:pPr>
        <w:pStyle w:val="ListParagraph"/>
        <w:spacing w:after="0" w:line="240" w:lineRule="auto"/>
        <w:rPr>
          <w:rFonts w:ascii="Arial" w:hAnsi="Arial" w:cs="Arial"/>
          <w:sz w:val="26"/>
          <w:szCs w:val="26"/>
        </w:rPr>
      </w:pPr>
      <w:r>
        <w:rPr>
          <w:rFonts w:ascii="Arial" w:hAnsi="Arial" w:cs="Arial"/>
          <w:sz w:val="26"/>
          <w:szCs w:val="26"/>
        </w:rPr>
        <w:t xml:space="preserve">The nature of the circumstances in which the pattern of admissions may give rise to a claim </w:t>
      </w:r>
      <w:r w:rsidR="00EE258D">
        <w:rPr>
          <w:rFonts w:ascii="Arial" w:hAnsi="Arial" w:cs="Arial"/>
          <w:sz w:val="26"/>
          <w:szCs w:val="26"/>
        </w:rPr>
        <w:t xml:space="preserve">is </w:t>
      </w:r>
      <w:r w:rsidRPr="003868FB">
        <w:rPr>
          <w:rFonts w:ascii="Arial" w:hAnsi="Arial" w:cs="Arial"/>
          <w:sz w:val="26"/>
          <w:szCs w:val="26"/>
        </w:rPr>
        <w:t xml:space="preserve">difficult to forecast. </w:t>
      </w:r>
      <w:r w:rsidR="0066671C">
        <w:rPr>
          <w:rFonts w:ascii="Arial" w:hAnsi="Arial" w:cs="Arial"/>
          <w:sz w:val="26"/>
          <w:szCs w:val="26"/>
        </w:rPr>
        <w:t>As an initial measure, i</w:t>
      </w:r>
      <w:r w:rsidRPr="003868FB">
        <w:rPr>
          <w:rFonts w:ascii="Arial" w:hAnsi="Arial" w:cs="Arial"/>
          <w:sz w:val="26"/>
          <w:szCs w:val="26"/>
        </w:rPr>
        <w:t>t is proposed that a notional budget of £</w:t>
      </w:r>
      <w:r w:rsidRPr="003868FB" w:rsidR="00EE258D">
        <w:rPr>
          <w:rFonts w:ascii="Arial" w:hAnsi="Arial" w:cs="Arial"/>
          <w:sz w:val="26"/>
          <w:szCs w:val="26"/>
        </w:rPr>
        <w:t>0.</w:t>
      </w:r>
      <w:r w:rsidRPr="003868FB" w:rsidR="0091708D">
        <w:rPr>
          <w:rFonts w:ascii="Arial" w:hAnsi="Arial" w:cs="Arial"/>
          <w:sz w:val="26"/>
          <w:szCs w:val="26"/>
        </w:rPr>
        <w:t>10</w:t>
      </w:r>
      <w:r w:rsidRPr="003868FB">
        <w:rPr>
          <w:rFonts w:ascii="Arial" w:hAnsi="Arial" w:cs="Arial"/>
          <w:sz w:val="26"/>
          <w:szCs w:val="26"/>
        </w:rPr>
        <w:t>0</w:t>
      </w:r>
      <w:r w:rsidRPr="003868FB" w:rsidR="00EE258D">
        <w:rPr>
          <w:rFonts w:ascii="Arial" w:hAnsi="Arial" w:cs="Arial"/>
          <w:sz w:val="26"/>
          <w:szCs w:val="26"/>
        </w:rPr>
        <w:t>m</w:t>
      </w:r>
      <w:r w:rsidRPr="003868FB">
        <w:rPr>
          <w:rFonts w:ascii="Arial" w:hAnsi="Arial" w:cs="Arial"/>
          <w:sz w:val="26"/>
          <w:szCs w:val="26"/>
        </w:rPr>
        <w:t xml:space="preserve"> be held </w:t>
      </w:r>
      <w:r w:rsidR="00E11297">
        <w:rPr>
          <w:rFonts w:ascii="Arial" w:hAnsi="Arial" w:cs="Arial"/>
          <w:sz w:val="26"/>
          <w:szCs w:val="26"/>
        </w:rPr>
        <w:t xml:space="preserve">centrally, </w:t>
      </w:r>
      <w:r w:rsidRPr="003868FB">
        <w:rPr>
          <w:rFonts w:ascii="Arial" w:hAnsi="Arial" w:cs="Arial"/>
          <w:sz w:val="26"/>
          <w:szCs w:val="26"/>
        </w:rPr>
        <w:t xml:space="preserve">with any costs over and above this sum </w:t>
      </w:r>
      <w:r w:rsidR="00A3261C">
        <w:rPr>
          <w:rFonts w:ascii="Arial" w:hAnsi="Arial" w:cs="Arial"/>
          <w:sz w:val="26"/>
          <w:szCs w:val="26"/>
        </w:rPr>
        <w:t xml:space="preserve">in 2018-19 </w:t>
      </w:r>
      <w:r w:rsidRPr="003868FB" w:rsidR="00EE258D">
        <w:rPr>
          <w:rFonts w:ascii="Arial" w:hAnsi="Arial" w:cs="Arial"/>
          <w:sz w:val="26"/>
          <w:szCs w:val="26"/>
        </w:rPr>
        <w:t>being met from DSG reserves.</w:t>
      </w:r>
      <w:r w:rsidR="0066671C">
        <w:rPr>
          <w:rFonts w:ascii="Arial" w:hAnsi="Arial" w:cs="Arial"/>
          <w:sz w:val="26"/>
          <w:szCs w:val="26"/>
        </w:rPr>
        <w:t xml:space="preserve"> The budget level for 2019-20 will be reviewed in the light of 2018-19 claims.</w:t>
      </w:r>
    </w:p>
    <w:p w:rsidR="00594D48" w:rsidP="007C57E2" w:rsidRDefault="00594D48">
      <w:pPr>
        <w:pStyle w:val="ListParagraph"/>
        <w:spacing w:after="0" w:line="240" w:lineRule="auto"/>
        <w:rPr>
          <w:rFonts w:ascii="Arial" w:hAnsi="Arial" w:cs="Arial"/>
          <w:sz w:val="26"/>
          <w:szCs w:val="26"/>
        </w:rPr>
      </w:pPr>
    </w:p>
    <w:p w:rsidR="00594D48" w:rsidP="007C57E2" w:rsidRDefault="0091708D">
      <w:pPr>
        <w:pStyle w:val="ListParagraph"/>
        <w:spacing w:after="0" w:line="240" w:lineRule="auto"/>
        <w:rPr>
          <w:rFonts w:ascii="Arial" w:hAnsi="Arial" w:cs="Arial"/>
          <w:sz w:val="26"/>
          <w:szCs w:val="26"/>
        </w:rPr>
      </w:pPr>
      <w:r w:rsidRPr="003868FB">
        <w:rPr>
          <w:rFonts w:ascii="Arial" w:hAnsi="Arial" w:cs="Arial"/>
          <w:sz w:val="26"/>
          <w:szCs w:val="26"/>
        </w:rPr>
        <w:t xml:space="preserve">It is proposed that the £0.100m be </w:t>
      </w:r>
      <w:r w:rsidR="003868FB">
        <w:rPr>
          <w:rFonts w:ascii="Arial" w:hAnsi="Arial" w:cs="Arial"/>
          <w:sz w:val="26"/>
          <w:szCs w:val="26"/>
        </w:rPr>
        <w:t xml:space="preserve">funded </w:t>
      </w:r>
      <w:r w:rsidRPr="003868FB">
        <w:rPr>
          <w:rFonts w:ascii="Arial" w:hAnsi="Arial" w:cs="Arial"/>
          <w:sz w:val="26"/>
          <w:szCs w:val="26"/>
        </w:rPr>
        <w:t xml:space="preserve">from the </w:t>
      </w:r>
      <w:r w:rsidRPr="003868FB" w:rsidR="003868FB">
        <w:rPr>
          <w:rFonts w:ascii="Arial" w:hAnsi="Arial" w:cs="Arial"/>
          <w:sz w:val="26"/>
          <w:szCs w:val="26"/>
        </w:rPr>
        <w:t xml:space="preserve">existing </w:t>
      </w:r>
      <w:r w:rsidRPr="003868FB">
        <w:rPr>
          <w:rFonts w:ascii="Arial" w:hAnsi="Arial" w:cs="Arial"/>
          <w:sz w:val="26"/>
          <w:szCs w:val="26"/>
        </w:rPr>
        <w:t>Key Stage 1</w:t>
      </w:r>
      <w:r w:rsidRPr="003868FB" w:rsidR="003868FB">
        <w:rPr>
          <w:rFonts w:ascii="Arial" w:hAnsi="Arial" w:cs="Arial"/>
          <w:sz w:val="26"/>
          <w:szCs w:val="26"/>
        </w:rPr>
        <w:t xml:space="preserve"> fund. </w:t>
      </w:r>
      <w:r w:rsidRPr="003868FB">
        <w:rPr>
          <w:rFonts w:ascii="Arial" w:hAnsi="Arial" w:cs="Arial"/>
          <w:sz w:val="26"/>
          <w:szCs w:val="26"/>
        </w:rPr>
        <w:t xml:space="preserve"> </w:t>
      </w:r>
      <w:r w:rsidRPr="003868FB" w:rsidR="003868FB">
        <w:rPr>
          <w:rFonts w:ascii="Arial" w:hAnsi="Arial" w:cs="Arial"/>
          <w:sz w:val="26"/>
          <w:szCs w:val="26"/>
        </w:rPr>
        <w:t xml:space="preserve">Of the £1.15m </w:t>
      </w:r>
      <w:r w:rsidR="003868FB">
        <w:rPr>
          <w:rFonts w:ascii="Arial" w:hAnsi="Arial" w:cs="Arial"/>
          <w:sz w:val="26"/>
          <w:szCs w:val="26"/>
        </w:rPr>
        <w:t xml:space="preserve">allocated </w:t>
      </w:r>
      <w:r w:rsidR="00594D48">
        <w:rPr>
          <w:rFonts w:ascii="Arial" w:hAnsi="Arial" w:cs="Arial"/>
          <w:sz w:val="26"/>
          <w:szCs w:val="26"/>
        </w:rPr>
        <w:t xml:space="preserve">to </w:t>
      </w:r>
      <w:r w:rsidRPr="003868FB" w:rsidR="003868FB">
        <w:rPr>
          <w:rFonts w:ascii="Arial" w:hAnsi="Arial" w:cs="Arial"/>
          <w:sz w:val="26"/>
          <w:szCs w:val="26"/>
        </w:rPr>
        <w:t xml:space="preserve">schools in 2016-17, £0.120m was paid to schools with 300 or more children on roll. Schools of this size will particularly benefit from the National Funding Formula </w:t>
      </w:r>
      <w:r w:rsidR="00E11297">
        <w:rPr>
          <w:rFonts w:ascii="Arial" w:hAnsi="Arial" w:cs="Arial"/>
          <w:sz w:val="26"/>
          <w:szCs w:val="26"/>
        </w:rPr>
        <w:t xml:space="preserve">changes </w:t>
      </w:r>
      <w:r w:rsidRPr="003868FB" w:rsidR="003868FB">
        <w:rPr>
          <w:rFonts w:ascii="Arial" w:hAnsi="Arial" w:cs="Arial"/>
          <w:sz w:val="26"/>
          <w:szCs w:val="26"/>
        </w:rPr>
        <w:t>and the much higher</w:t>
      </w:r>
      <w:r w:rsidR="003868FB">
        <w:rPr>
          <w:rFonts w:ascii="Arial" w:hAnsi="Arial" w:cs="Arial"/>
          <w:sz w:val="26"/>
          <w:szCs w:val="26"/>
        </w:rPr>
        <w:t xml:space="preserve"> AWPU figure. It is proposed that from September 2018 schools with 300 or more on roll would </w:t>
      </w:r>
      <w:r w:rsidR="00594D48">
        <w:rPr>
          <w:rFonts w:ascii="Arial" w:hAnsi="Arial" w:cs="Arial"/>
          <w:sz w:val="26"/>
          <w:szCs w:val="26"/>
        </w:rPr>
        <w:t xml:space="preserve">cease to </w:t>
      </w:r>
      <w:r w:rsidR="003868FB">
        <w:rPr>
          <w:rFonts w:ascii="Arial" w:hAnsi="Arial" w:cs="Arial"/>
          <w:sz w:val="26"/>
          <w:szCs w:val="26"/>
        </w:rPr>
        <w:t xml:space="preserve">be eligible for financial support, save in exceptional circumstances. </w:t>
      </w:r>
    </w:p>
    <w:p w:rsidR="00594D48" w:rsidP="007C57E2" w:rsidRDefault="00594D48">
      <w:pPr>
        <w:pStyle w:val="ListParagraph"/>
        <w:spacing w:after="0" w:line="240" w:lineRule="auto"/>
        <w:rPr>
          <w:rFonts w:ascii="Arial" w:hAnsi="Arial" w:cs="Arial"/>
          <w:sz w:val="26"/>
          <w:szCs w:val="26"/>
        </w:rPr>
      </w:pPr>
    </w:p>
    <w:p w:rsidR="00957C46" w:rsidP="007C57E2" w:rsidRDefault="00957C46">
      <w:pPr>
        <w:pStyle w:val="ListParagraph"/>
        <w:spacing w:after="0" w:line="240" w:lineRule="auto"/>
        <w:rPr>
          <w:rFonts w:ascii="Arial" w:hAnsi="Arial" w:cs="Arial"/>
          <w:sz w:val="26"/>
          <w:szCs w:val="26"/>
        </w:rPr>
      </w:pPr>
      <w:r>
        <w:rPr>
          <w:rFonts w:ascii="Arial" w:hAnsi="Arial" w:cs="Arial"/>
          <w:sz w:val="26"/>
          <w:szCs w:val="26"/>
        </w:rPr>
        <w:t xml:space="preserve">The timing of the change </w:t>
      </w:r>
      <w:r w:rsidR="003868FB">
        <w:rPr>
          <w:rFonts w:ascii="Arial" w:hAnsi="Arial" w:cs="Arial"/>
          <w:sz w:val="26"/>
          <w:szCs w:val="26"/>
        </w:rPr>
        <w:t xml:space="preserve">would </w:t>
      </w:r>
      <w:r>
        <w:rPr>
          <w:rFonts w:ascii="Arial" w:hAnsi="Arial" w:cs="Arial"/>
          <w:sz w:val="26"/>
          <w:szCs w:val="26"/>
        </w:rPr>
        <w:t xml:space="preserve">avoid disrupting schools’ </w:t>
      </w:r>
      <w:r w:rsidR="003868FB">
        <w:rPr>
          <w:rFonts w:ascii="Arial" w:hAnsi="Arial" w:cs="Arial"/>
          <w:sz w:val="26"/>
          <w:szCs w:val="26"/>
        </w:rPr>
        <w:t xml:space="preserve">funding </w:t>
      </w:r>
      <w:r>
        <w:rPr>
          <w:rFonts w:ascii="Arial" w:hAnsi="Arial" w:cs="Arial"/>
          <w:sz w:val="26"/>
          <w:szCs w:val="26"/>
        </w:rPr>
        <w:t>p</w:t>
      </w:r>
      <w:r w:rsidR="00594D48">
        <w:rPr>
          <w:rFonts w:ascii="Arial" w:hAnsi="Arial" w:cs="Arial"/>
          <w:sz w:val="26"/>
          <w:szCs w:val="26"/>
        </w:rPr>
        <w:t xml:space="preserve">lans </w:t>
      </w:r>
      <w:r w:rsidR="0066671C">
        <w:rPr>
          <w:rFonts w:ascii="Arial" w:hAnsi="Arial" w:cs="Arial"/>
          <w:sz w:val="26"/>
          <w:szCs w:val="26"/>
        </w:rPr>
        <w:t xml:space="preserve">in the current </w:t>
      </w:r>
      <w:r w:rsidR="00594D48">
        <w:rPr>
          <w:rFonts w:ascii="Arial" w:hAnsi="Arial" w:cs="Arial"/>
          <w:sz w:val="26"/>
          <w:szCs w:val="26"/>
        </w:rPr>
        <w:t xml:space="preserve">academic year and the </w:t>
      </w:r>
      <w:r>
        <w:rPr>
          <w:rFonts w:ascii="Arial" w:hAnsi="Arial" w:cs="Arial"/>
          <w:sz w:val="26"/>
          <w:szCs w:val="26"/>
        </w:rPr>
        <w:t>use of the KS1 fund would avoid the need to top-slice schools’ formula multipliers.</w:t>
      </w:r>
    </w:p>
    <w:p w:rsidR="003868FB" w:rsidP="007C57E2" w:rsidRDefault="003868FB">
      <w:pPr>
        <w:pStyle w:val="ListParagraph"/>
        <w:spacing w:after="0" w:line="240" w:lineRule="auto"/>
        <w:rPr>
          <w:rFonts w:ascii="Arial" w:hAnsi="Arial" w:cs="Arial"/>
          <w:sz w:val="26"/>
          <w:szCs w:val="26"/>
        </w:rPr>
      </w:pPr>
    </w:p>
    <w:p w:rsidR="00F05C52" w:rsidP="00F05C52" w:rsidRDefault="00EE258D">
      <w:pPr>
        <w:pStyle w:val="ListParagraph"/>
        <w:spacing w:after="0" w:line="240" w:lineRule="auto"/>
        <w:rPr>
          <w:rFonts w:ascii="Arial" w:hAnsi="Arial" w:cs="Arial"/>
          <w:sz w:val="26"/>
          <w:szCs w:val="26"/>
        </w:rPr>
      </w:pPr>
      <w:r>
        <w:rPr>
          <w:rFonts w:ascii="Arial" w:hAnsi="Arial" w:cs="Arial"/>
          <w:sz w:val="26"/>
          <w:szCs w:val="26"/>
        </w:rPr>
        <w:t xml:space="preserve">It </w:t>
      </w:r>
      <w:r w:rsidR="0066671C">
        <w:rPr>
          <w:rFonts w:ascii="Arial" w:hAnsi="Arial" w:cs="Arial"/>
          <w:sz w:val="26"/>
          <w:szCs w:val="26"/>
        </w:rPr>
        <w:t xml:space="preserve">would be </w:t>
      </w:r>
      <w:r>
        <w:rPr>
          <w:rFonts w:ascii="Arial" w:hAnsi="Arial" w:cs="Arial"/>
          <w:sz w:val="26"/>
          <w:szCs w:val="26"/>
        </w:rPr>
        <w:t>expected that academ</w:t>
      </w:r>
      <w:r w:rsidR="00E11297">
        <w:rPr>
          <w:rFonts w:ascii="Arial" w:hAnsi="Arial" w:cs="Arial"/>
          <w:sz w:val="26"/>
          <w:szCs w:val="26"/>
        </w:rPr>
        <w:t xml:space="preserve">ies </w:t>
      </w:r>
      <w:r>
        <w:rPr>
          <w:rFonts w:ascii="Arial" w:hAnsi="Arial" w:cs="Arial"/>
          <w:sz w:val="26"/>
          <w:szCs w:val="26"/>
        </w:rPr>
        <w:t xml:space="preserve">should meet </w:t>
      </w:r>
      <w:r w:rsidR="00F05C52">
        <w:rPr>
          <w:rFonts w:ascii="Arial" w:hAnsi="Arial" w:cs="Arial"/>
          <w:sz w:val="26"/>
          <w:szCs w:val="26"/>
        </w:rPr>
        <w:t xml:space="preserve">some of the </w:t>
      </w:r>
      <w:r>
        <w:rPr>
          <w:rFonts w:ascii="Arial" w:hAnsi="Arial" w:cs="Arial"/>
          <w:sz w:val="26"/>
          <w:szCs w:val="26"/>
        </w:rPr>
        <w:t>extra costs</w:t>
      </w:r>
      <w:r w:rsidR="00F05C52">
        <w:rPr>
          <w:rFonts w:ascii="Arial" w:hAnsi="Arial" w:cs="Arial"/>
          <w:sz w:val="26"/>
          <w:szCs w:val="26"/>
        </w:rPr>
        <w:t xml:space="preserve"> from </w:t>
      </w:r>
      <w:r w:rsidR="00E11297">
        <w:rPr>
          <w:rFonts w:ascii="Arial" w:hAnsi="Arial" w:cs="Arial"/>
          <w:sz w:val="26"/>
          <w:szCs w:val="26"/>
        </w:rPr>
        <w:t xml:space="preserve">their </w:t>
      </w:r>
      <w:r w:rsidR="00F05C52">
        <w:rPr>
          <w:rFonts w:ascii="Arial" w:hAnsi="Arial" w:cs="Arial"/>
          <w:sz w:val="26"/>
          <w:szCs w:val="26"/>
        </w:rPr>
        <w:t xml:space="preserve">own resources, with the academy </w:t>
      </w:r>
      <w:r w:rsidR="00E11297">
        <w:rPr>
          <w:rFonts w:ascii="Arial" w:hAnsi="Arial" w:cs="Arial"/>
          <w:sz w:val="26"/>
          <w:szCs w:val="26"/>
        </w:rPr>
        <w:t xml:space="preserve">expected to </w:t>
      </w:r>
      <w:r w:rsidR="00F05C52">
        <w:rPr>
          <w:rFonts w:ascii="Arial" w:hAnsi="Arial" w:cs="Arial"/>
          <w:sz w:val="26"/>
          <w:szCs w:val="26"/>
        </w:rPr>
        <w:t xml:space="preserve">fund a sum </w:t>
      </w:r>
      <w:r>
        <w:rPr>
          <w:rFonts w:ascii="Arial" w:hAnsi="Arial" w:cs="Arial"/>
          <w:sz w:val="26"/>
          <w:szCs w:val="26"/>
        </w:rPr>
        <w:t>equivalent to 1% of the GAG (General Annual Grant). Costs above this threshold, net of the 1% deduction, would be eligible for consideration for support.</w:t>
      </w:r>
      <w:r w:rsidR="00957C46">
        <w:rPr>
          <w:rFonts w:ascii="Arial" w:hAnsi="Arial" w:cs="Arial"/>
          <w:sz w:val="26"/>
          <w:szCs w:val="26"/>
        </w:rPr>
        <w:t xml:space="preserve">  </w:t>
      </w:r>
      <w:r w:rsidRPr="00D14230" w:rsidR="00F05C52">
        <w:rPr>
          <w:rFonts w:ascii="Arial" w:hAnsi="Arial" w:cs="Arial"/>
          <w:sz w:val="26"/>
          <w:szCs w:val="26"/>
        </w:rPr>
        <w:t xml:space="preserve">Even </w:t>
      </w:r>
      <w:r w:rsidR="00F05C52">
        <w:rPr>
          <w:rFonts w:ascii="Arial" w:hAnsi="Arial" w:cs="Arial"/>
          <w:sz w:val="26"/>
          <w:szCs w:val="26"/>
        </w:rPr>
        <w:t xml:space="preserve">if this 1% test were met, </w:t>
      </w:r>
      <w:r w:rsidRPr="00D14230" w:rsidR="00F05C52">
        <w:rPr>
          <w:rFonts w:ascii="Arial" w:hAnsi="Arial" w:cs="Arial"/>
          <w:sz w:val="26"/>
          <w:szCs w:val="26"/>
        </w:rPr>
        <w:t xml:space="preserve">the starting presumption would be that the </w:t>
      </w:r>
      <w:r w:rsidR="00A3261C">
        <w:rPr>
          <w:rFonts w:ascii="Arial" w:hAnsi="Arial" w:cs="Arial"/>
          <w:sz w:val="26"/>
          <w:szCs w:val="26"/>
        </w:rPr>
        <w:t>a</w:t>
      </w:r>
      <w:r w:rsidRPr="00D14230" w:rsidR="00F05C52">
        <w:rPr>
          <w:rFonts w:ascii="Arial" w:hAnsi="Arial" w:cs="Arial"/>
          <w:sz w:val="26"/>
          <w:szCs w:val="26"/>
        </w:rPr>
        <w:t xml:space="preserve">cademy would absorb </w:t>
      </w:r>
      <w:r w:rsidR="0074788A">
        <w:rPr>
          <w:rFonts w:ascii="Arial" w:hAnsi="Arial" w:cs="Arial"/>
          <w:sz w:val="26"/>
          <w:szCs w:val="26"/>
        </w:rPr>
        <w:t xml:space="preserve">all </w:t>
      </w:r>
      <w:r w:rsidRPr="00D14230" w:rsidR="00F05C52">
        <w:rPr>
          <w:rFonts w:ascii="Arial" w:hAnsi="Arial" w:cs="Arial"/>
          <w:sz w:val="26"/>
          <w:szCs w:val="26"/>
        </w:rPr>
        <w:t>the additional costs with any support being subject to rigorous scrutiny, including an assessment of:</w:t>
      </w:r>
    </w:p>
    <w:p w:rsidRPr="00D14230" w:rsidR="00F05C52" w:rsidP="00F05C52" w:rsidRDefault="00F05C52">
      <w:pPr>
        <w:pStyle w:val="ListParagraph"/>
        <w:spacing w:after="0" w:line="240" w:lineRule="auto"/>
        <w:rPr>
          <w:rFonts w:ascii="Arial" w:hAnsi="Arial" w:cs="Arial"/>
          <w:sz w:val="26"/>
          <w:szCs w:val="26"/>
        </w:rPr>
      </w:pPr>
    </w:p>
    <w:p w:rsidRPr="00D14230" w:rsidR="00F05C52" w:rsidP="00F05C52" w:rsidRDefault="00F05C52">
      <w:pPr>
        <w:pStyle w:val="ListParagraph"/>
        <w:numPr>
          <w:ilvl w:val="0"/>
          <w:numId w:val="15"/>
        </w:numPr>
        <w:spacing w:after="0" w:line="240" w:lineRule="auto"/>
        <w:ind w:left="1134"/>
        <w:rPr>
          <w:rFonts w:ascii="Arial" w:hAnsi="Arial" w:cs="Arial"/>
          <w:sz w:val="26"/>
          <w:szCs w:val="26"/>
        </w:rPr>
      </w:pPr>
      <w:r w:rsidRPr="00D14230">
        <w:rPr>
          <w:rFonts w:ascii="Arial" w:hAnsi="Arial" w:cs="Arial"/>
          <w:sz w:val="26"/>
          <w:szCs w:val="26"/>
        </w:rPr>
        <w:t xml:space="preserve">The </w:t>
      </w:r>
      <w:r>
        <w:rPr>
          <w:rFonts w:ascii="Arial" w:hAnsi="Arial" w:cs="Arial"/>
          <w:sz w:val="26"/>
          <w:szCs w:val="26"/>
        </w:rPr>
        <w:t xml:space="preserve">actual </w:t>
      </w:r>
      <w:r w:rsidRPr="00D14230">
        <w:rPr>
          <w:rFonts w:ascii="Arial" w:hAnsi="Arial" w:cs="Arial"/>
          <w:sz w:val="26"/>
          <w:szCs w:val="26"/>
        </w:rPr>
        <w:t>cost of the pupils, relative to the size of the Academy’s budget; and</w:t>
      </w:r>
    </w:p>
    <w:p w:rsidRPr="00D14230" w:rsidR="00F05C52" w:rsidP="00F05C52" w:rsidRDefault="00F05C52">
      <w:pPr>
        <w:pStyle w:val="ListParagraph"/>
        <w:numPr>
          <w:ilvl w:val="0"/>
          <w:numId w:val="15"/>
        </w:numPr>
        <w:spacing w:after="0" w:line="240" w:lineRule="auto"/>
        <w:ind w:left="1134"/>
        <w:rPr>
          <w:rFonts w:ascii="Arial" w:hAnsi="Arial" w:cs="Arial"/>
          <w:sz w:val="26"/>
          <w:szCs w:val="26"/>
        </w:rPr>
      </w:pPr>
      <w:r w:rsidRPr="00D14230">
        <w:rPr>
          <w:rFonts w:ascii="Arial" w:hAnsi="Arial" w:cs="Arial"/>
          <w:sz w:val="26"/>
          <w:szCs w:val="26"/>
        </w:rPr>
        <w:t>The academy’s current/forecast balances.</w:t>
      </w:r>
    </w:p>
    <w:p w:rsidR="00F05C52" w:rsidP="007C57E2" w:rsidRDefault="00F05C52">
      <w:pPr>
        <w:pStyle w:val="ListParagraph"/>
        <w:spacing w:after="0" w:line="240" w:lineRule="auto"/>
        <w:rPr>
          <w:rFonts w:ascii="Arial" w:hAnsi="Arial" w:cs="Arial"/>
          <w:sz w:val="26"/>
          <w:szCs w:val="26"/>
        </w:rPr>
      </w:pPr>
    </w:p>
    <w:p w:rsidR="00EE258D" w:rsidP="007C57E2" w:rsidRDefault="00EE258D">
      <w:pPr>
        <w:pStyle w:val="ListParagraph"/>
        <w:spacing w:after="0" w:line="240" w:lineRule="auto"/>
        <w:rPr>
          <w:rFonts w:ascii="Arial" w:hAnsi="Arial" w:cs="Arial"/>
          <w:sz w:val="26"/>
          <w:szCs w:val="26"/>
        </w:rPr>
      </w:pPr>
      <w:r>
        <w:rPr>
          <w:rFonts w:ascii="Arial" w:hAnsi="Arial" w:cs="Arial"/>
          <w:sz w:val="26"/>
          <w:szCs w:val="26"/>
        </w:rPr>
        <w:t>This approach mirrors that currently used in assessing claims against the school specific contingency fund</w:t>
      </w:r>
      <w:r w:rsidR="00594D48">
        <w:rPr>
          <w:rFonts w:ascii="Arial" w:hAnsi="Arial" w:cs="Arial"/>
          <w:sz w:val="26"/>
          <w:szCs w:val="26"/>
        </w:rPr>
        <w:t xml:space="preserve"> for LA maintained schools</w:t>
      </w:r>
      <w:r>
        <w:rPr>
          <w:rFonts w:ascii="Arial" w:hAnsi="Arial" w:cs="Arial"/>
          <w:sz w:val="26"/>
          <w:szCs w:val="26"/>
        </w:rPr>
        <w:t xml:space="preserve">. </w:t>
      </w:r>
      <w:r w:rsidR="0074788A">
        <w:rPr>
          <w:rFonts w:ascii="Arial" w:hAnsi="Arial" w:cs="Arial"/>
          <w:sz w:val="26"/>
          <w:szCs w:val="26"/>
        </w:rPr>
        <w:t xml:space="preserve"> </w:t>
      </w:r>
      <w:r>
        <w:rPr>
          <w:rFonts w:ascii="Arial" w:hAnsi="Arial" w:cs="Arial"/>
          <w:sz w:val="26"/>
          <w:szCs w:val="26"/>
        </w:rPr>
        <w:t xml:space="preserve">Any underspend against the growth fund would be rolled forward and Schools Forum would </w:t>
      </w:r>
      <w:r w:rsidR="00F05C52">
        <w:rPr>
          <w:rFonts w:ascii="Arial" w:hAnsi="Arial" w:cs="Arial"/>
          <w:sz w:val="26"/>
          <w:szCs w:val="26"/>
        </w:rPr>
        <w:t xml:space="preserve">have an opportunity to consider </w:t>
      </w:r>
      <w:r>
        <w:rPr>
          <w:rFonts w:ascii="Arial" w:hAnsi="Arial" w:cs="Arial"/>
          <w:sz w:val="26"/>
          <w:szCs w:val="26"/>
        </w:rPr>
        <w:t xml:space="preserve">its </w:t>
      </w:r>
      <w:r w:rsidR="00F05C52">
        <w:rPr>
          <w:rFonts w:ascii="Arial" w:hAnsi="Arial" w:cs="Arial"/>
          <w:sz w:val="26"/>
          <w:szCs w:val="26"/>
        </w:rPr>
        <w:t xml:space="preserve">future use </w:t>
      </w:r>
      <w:r>
        <w:rPr>
          <w:rFonts w:ascii="Arial" w:hAnsi="Arial" w:cs="Arial"/>
          <w:sz w:val="26"/>
          <w:szCs w:val="26"/>
        </w:rPr>
        <w:t xml:space="preserve">alongside other </w:t>
      </w:r>
      <w:r w:rsidR="00F05C52">
        <w:rPr>
          <w:rFonts w:ascii="Arial" w:hAnsi="Arial" w:cs="Arial"/>
          <w:sz w:val="26"/>
          <w:szCs w:val="26"/>
        </w:rPr>
        <w:t xml:space="preserve">non-delegated </w:t>
      </w:r>
      <w:r>
        <w:rPr>
          <w:rFonts w:ascii="Arial" w:hAnsi="Arial" w:cs="Arial"/>
          <w:sz w:val="26"/>
          <w:szCs w:val="26"/>
        </w:rPr>
        <w:t xml:space="preserve">DSG </w:t>
      </w:r>
      <w:r w:rsidR="00F05C52">
        <w:rPr>
          <w:rFonts w:ascii="Arial" w:hAnsi="Arial" w:cs="Arial"/>
          <w:sz w:val="26"/>
          <w:szCs w:val="26"/>
        </w:rPr>
        <w:t>balances</w:t>
      </w:r>
      <w:r w:rsidR="00594D48">
        <w:rPr>
          <w:rFonts w:ascii="Arial" w:hAnsi="Arial" w:cs="Arial"/>
          <w:sz w:val="26"/>
          <w:szCs w:val="26"/>
        </w:rPr>
        <w:t>.</w:t>
      </w:r>
    </w:p>
    <w:p w:rsidR="00EE258D" w:rsidP="007C57E2" w:rsidRDefault="00EE258D">
      <w:pPr>
        <w:pStyle w:val="ListParagraph"/>
        <w:spacing w:after="0" w:line="240" w:lineRule="auto"/>
        <w:rPr>
          <w:rFonts w:ascii="Arial" w:hAnsi="Arial" w:cs="Arial"/>
          <w:sz w:val="26"/>
          <w:szCs w:val="26"/>
        </w:rPr>
      </w:pPr>
    </w:p>
    <w:p w:rsidRPr="003E36C4" w:rsidR="00EE258D" w:rsidP="007C57E2" w:rsidRDefault="00EE258D">
      <w:pPr>
        <w:pStyle w:val="ListParagraph"/>
        <w:spacing w:after="0" w:line="240" w:lineRule="auto"/>
        <w:rPr>
          <w:rFonts w:ascii="Arial" w:hAnsi="Arial" w:cs="Arial"/>
          <w:sz w:val="26"/>
          <w:szCs w:val="26"/>
        </w:rPr>
      </w:pPr>
      <w:r w:rsidRPr="003E36C4">
        <w:rPr>
          <w:rFonts w:ascii="Arial" w:hAnsi="Arial" w:cs="Arial"/>
          <w:b/>
          <w:sz w:val="26"/>
          <w:szCs w:val="26"/>
        </w:rPr>
        <w:t>Recommendation 1</w:t>
      </w:r>
      <w:r w:rsidRPr="003E36C4" w:rsidR="00F05C52">
        <w:rPr>
          <w:rFonts w:ascii="Arial" w:hAnsi="Arial" w:cs="Arial"/>
          <w:sz w:val="26"/>
          <w:szCs w:val="26"/>
        </w:rPr>
        <w:t xml:space="preserve"> </w:t>
      </w:r>
      <w:r w:rsidRPr="003E36C4">
        <w:rPr>
          <w:rFonts w:ascii="Arial" w:hAnsi="Arial" w:cs="Arial"/>
          <w:sz w:val="26"/>
          <w:szCs w:val="26"/>
        </w:rPr>
        <w:t>- That the Schools Forum agree a £0.</w:t>
      </w:r>
      <w:r w:rsidRPr="003E36C4" w:rsidR="0091708D">
        <w:rPr>
          <w:rFonts w:ascii="Arial" w:hAnsi="Arial" w:cs="Arial"/>
          <w:sz w:val="26"/>
          <w:szCs w:val="26"/>
        </w:rPr>
        <w:t>10</w:t>
      </w:r>
      <w:r w:rsidRPr="003E36C4">
        <w:rPr>
          <w:rFonts w:ascii="Arial" w:hAnsi="Arial" w:cs="Arial"/>
          <w:sz w:val="26"/>
          <w:szCs w:val="26"/>
        </w:rPr>
        <w:t>0m in</w:t>
      </w:r>
      <w:r w:rsidR="00CB09B2">
        <w:rPr>
          <w:rFonts w:ascii="Arial" w:hAnsi="Arial" w:cs="Arial"/>
          <w:sz w:val="26"/>
          <w:szCs w:val="26"/>
        </w:rPr>
        <w:t>-</w:t>
      </w:r>
      <w:r w:rsidRPr="003E36C4">
        <w:rPr>
          <w:rFonts w:ascii="Arial" w:hAnsi="Arial" w:cs="Arial"/>
          <w:sz w:val="26"/>
          <w:szCs w:val="26"/>
        </w:rPr>
        <w:t xml:space="preserve">year </w:t>
      </w:r>
      <w:r w:rsidR="00CB09B2">
        <w:rPr>
          <w:rFonts w:ascii="Arial" w:hAnsi="Arial" w:cs="Arial"/>
          <w:sz w:val="26"/>
          <w:szCs w:val="26"/>
        </w:rPr>
        <w:t xml:space="preserve">pupil </w:t>
      </w:r>
      <w:r w:rsidRPr="003E36C4">
        <w:rPr>
          <w:rFonts w:ascii="Arial" w:hAnsi="Arial" w:cs="Arial"/>
          <w:sz w:val="26"/>
          <w:szCs w:val="26"/>
        </w:rPr>
        <w:t>growth budget for 2018-19</w:t>
      </w:r>
      <w:r w:rsidR="00CB09B2">
        <w:rPr>
          <w:rFonts w:ascii="Arial" w:hAnsi="Arial" w:cs="Arial"/>
          <w:sz w:val="26"/>
          <w:szCs w:val="26"/>
        </w:rPr>
        <w:t xml:space="preserve"> to be met from a reduction in the Key Stage 1 class size fund</w:t>
      </w:r>
      <w:r w:rsidRPr="003E36C4">
        <w:rPr>
          <w:rFonts w:ascii="Arial" w:hAnsi="Arial" w:cs="Arial"/>
          <w:sz w:val="26"/>
          <w:szCs w:val="26"/>
        </w:rPr>
        <w:t>.</w:t>
      </w:r>
    </w:p>
    <w:p w:rsidRPr="003E36C4" w:rsidR="00EE258D" w:rsidP="007C57E2" w:rsidRDefault="00EE258D">
      <w:pPr>
        <w:pStyle w:val="ListParagraph"/>
        <w:spacing w:after="0" w:line="240" w:lineRule="auto"/>
        <w:rPr>
          <w:rFonts w:ascii="Arial" w:hAnsi="Arial" w:cs="Arial"/>
          <w:sz w:val="26"/>
          <w:szCs w:val="26"/>
        </w:rPr>
      </w:pPr>
    </w:p>
    <w:p w:rsidR="003868FB" w:rsidP="003868FB" w:rsidRDefault="003868FB">
      <w:pPr>
        <w:pStyle w:val="ListParagraph"/>
        <w:spacing w:after="0" w:line="240" w:lineRule="auto"/>
        <w:rPr>
          <w:rFonts w:ascii="Arial" w:hAnsi="Arial" w:cs="Arial"/>
          <w:sz w:val="26"/>
          <w:szCs w:val="26"/>
        </w:rPr>
      </w:pPr>
      <w:r w:rsidRPr="003E36C4">
        <w:rPr>
          <w:rFonts w:ascii="Arial" w:hAnsi="Arial" w:cs="Arial"/>
          <w:b/>
          <w:sz w:val="26"/>
          <w:szCs w:val="26"/>
        </w:rPr>
        <w:t xml:space="preserve">Recommendation </w:t>
      </w:r>
      <w:r w:rsidR="00CB09B2">
        <w:rPr>
          <w:rFonts w:ascii="Arial" w:hAnsi="Arial" w:cs="Arial"/>
          <w:b/>
          <w:sz w:val="26"/>
          <w:szCs w:val="26"/>
        </w:rPr>
        <w:t>2</w:t>
      </w:r>
      <w:r w:rsidRPr="003E36C4">
        <w:rPr>
          <w:rFonts w:ascii="Arial" w:hAnsi="Arial" w:cs="Arial"/>
          <w:sz w:val="26"/>
          <w:szCs w:val="26"/>
        </w:rPr>
        <w:t xml:space="preserve"> </w:t>
      </w:r>
      <w:r w:rsidR="00CB09B2">
        <w:rPr>
          <w:rFonts w:ascii="Arial" w:hAnsi="Arial" w:cs="Arial"/>
          <w:sz w:val="26"/>
          <w:szCs w:val="26"/>
        </w:rPr>
        <w:t xml:space="preserve">- </w:t>
      </w:r>
      <w:r>
        <w:rPr>
          <w:rFonts w:ascii="Arial" w:hAnsi="Arial" w:cs="Arial"/>
          <w:sz w:val="26"/>
          <w:szCs w:val="26"/>
        </w:rPr>
        <w:t xml:space="preserve">That the Schools Forum agree, save for in exceptional circumstances, </w:t>
      </w:r>
      <w:r w:rsidR="00CB09B2">
        <w:rPr>
          <w:rFonts w:ascii="Arial" w:hAnsi="Arial" w:cs="Arial"/>
          <w:sz w:val="26"/>
          <w:szCs w:val="26"/>
        </w:rPr>
        <w:t xml:space="preserve">that </w:t>
      </w:r>
      <w:r>
        <w:rPr>
          <w:rFonts w:ascii="Arial" w:hAnsi="Arial" w:cs="Arial"/>
          <w:sz w:val="26"/>
          <w:szCs w:val="26"/>
        </w:rPr>
        <w:t>schools with 300 children or more on roll wo</w:t>
      </w:r>
      <w:r w:rsidR="00CB09B2">
        <w:rPr>
          <w:rFonts w:ascii="Arial" w:hAnsi="Arial" w:cs="Arial"/>
          <w:sz w:val="26"/>
          <w:szCs w:val="26"/>
        </w:rPr>
        <w:t>u</w:t>
      </w:r>
      <w:r>
        <w:rPr>
          <w:rFonts w:ascii="Arial" w:hAnsi="Arial" w:cs="Arial"/>
          <w:sz w:val="26"/>
          <w:szCs w:val="26"/>
        </w:rPr>
        <w:t xml:space="preserve">ld not </w:t>
      </w:r>
      <w:r w:rsidR="00CB09B2">
        <w:rPr>
          <w:rFonts w:ascii="Arial" w:hAnsi="Arial" w:cs="Arial"/>
          <w:sz w:val="26"/>
          <w:szCs w:val="26"/>
        </w:rPr>
        <w:t xml:space="preserve">normally </w:t>
      </w:r>
      <w:r>
        <w:rPr>
          <w:rFonts w:ascii="Arial" w:hAnsi="Arial" w:cs="Arial"/>
          <w:sz w:val="26"/>
          <w:szCs w:val="26"/>
        </w:rPr>
        <w:t>be eligible for support from the KS1 growth fund from September 2018.</w:t>
      </w:r>
    </w:p>
    <w:p w:rsidR="0066671C" w:rsidP="003868FB" w:rsidRDefault="0066671C">
      <w:pPr>
        <w:pStyle w:val="ListParagraph"/>
        <w:spacing w:after="0" w:line="240" w:lineRule="auto"/>
        <w:rPr>
          <w:rFonts w:ascii="Arial" w:hAnsi="Arial" w:cs="Arial"/>
          <w:sz w:val="26"/>
          <w:szCs w:val="26"/>
        </w:rPr>
      </w:pPr>
    </w:p>
    <w:p w:rsidR="0066671C" w:rsidP="003868FB" w:rsidRDefault="0066671C">
      <w:pPr>
        <w:pStyle w:val="ListParagraph"/>
        <w:spacing w:after="0" w:line="240" w:lineRule="auto"/>
        <w:rPr>
          <w:rFonts w:ascii="Arial" w:hAnsi="Arial" w:cs="Arial"/>
          <w:sz w:val="26"/>
          <w:szCs w:val="26"/>
        </w:rPr>
      </w:pPr>
      <w:r w:rsidRPr="0066671C">
        <w:rPr>
          <w:rFonts w:ascii="Arial" w:hAnsi="Arial" w:cs="Arial"/>
          <w:b/>
          <w:sz w:val="26"/>
          <w:szCs w:val="26"/>
        </w:rPr>
        <w:t>Recommendation</w:t>
      </w:r>
      <w:r>
        <w:rPr>
          <w:rFonts w:ascii="Arial" w:hAnsi="Arial" w:cs="Arial"/>
          <w:sz w:val="26"/>
          <w:szCs w:val="26"/>
        </w:rPr>
        <w:t xml:space="preserve"> </w:t>
      </w:r>
      <w:r w:rsidRPr="0066671C">
        <w:rPr>
          <w:rFonts w:ascii="Arial" w:hAnsi="Arial" w:cs="Arial"/>
          <w:b/>
          <w:sz w:val="26"/>
          <w:szCs w:val="26"/>
        </w:rPr>
        <w:t>3</w:t>
      </w:r>
      <w:r>
        <w:rPr>
          <w:rFonts w:ascii="Arial" w:hAnsi="Arial" w:cs="Arial"/>
          <w:sz w:val="26"/>
          <w:szCs w:val="26"/>
        </w:rPr>
        <w:t xml:space="preserve"> – That claims are subject to the application of the 1% test and an assessment of affordability as set out in 2.1 above.</w:t>
      </w:r>
    </w:p>
    <w:p w:rsidR="00462251" w:rsidP="00EE258D" w:rsidRDefault="00462251">
      <w:pPr>
        <w:spacing w:after="0" w:line="240" w:lineRule="auto"/>
        <w:ind w:left="709" w:hanging="283"/>
        <w:rPr>
          <w:rFonts w:ascii="Arial" w:hAnsi="Arial" w:cs="Arial"/>
          <w:sz w:val="26"/>
          <w:szCs w:val="26"/>
        </w:rPr>
      </w:pPr>
    </w:p>
    <w:p w:rsidRPr="00EE258D" w:rsidR="00EE258D" w:rsidP="00EE258D" w:rsidRDefault="00EE258D">
      <w:pPr>
        <w:spacing w:after="0" w:line="240" w:lineRule="auto"/>
        <w:ind w:left="709" w:hanging="283"/>
        <w:rPr>
          <w:rFonts w:ascii="Arial" w:hAnsi="Arial" w:cs="Arial"/>
          <w:sz w:val="26"/>
          <w:szCs w:val="26"/>
        </w:rPr>
      </w:pPr>
      <w:r>
        <w:rPr>
          <w:rFonts w:ascii="Arial" w:hAnsi="Arial" w:cs="Arial"/>
          <w:sz w:val="26"/>
          <w:szCs w:val="26"/>
        </w:rPr>
        <w:t>2.2</w:t>
      </w:r>
      <w:r>
        <w:rPr>
          <w:rFonts w:ascii="Arial" w:hAnsi="Arial" w:cs="Arial"/>
          <w:sz w:val="26"/>
          <w:szCs w:val="26"/>
        </w:rPr>
        <w:tab/>
      </w:r>
      <w:r w:rsidRPr="00EE258D">
        <w:rPr>
          <w:rFonts w:ascii="Arial" w:hAnsi="Arial" w:cs="Arial"/>
          <w:sz w:val="26"/>
          <w:szCs w:val="26"/>
          <w:u w:val="single"/>
        </w:rPr>
        <w:t xml:space="preserve">In year increases in pupil numbers </w:t>
      </w:r>
      <w:r>
        <w:rPr>
          <w:rFonts w:ascii="Arial" w:hAnsi="Arial" w:cs="Arial"/>
          <w:sz w:val="26"/>
          <w:szCs w:val="26"/>
          <w:u w:val="single"/>
        </w:rPr>
        <w:t xml:space="preserve">- </w:t>
      </w:r>
      <w:r w:rsidR="003E7BF8">
        <w:rPr>
          <w:rFonts w:ascii="Arial" w:hAnsi="Arial" w:cs="Arial"/>
          <w:sz w:val="26"/>
          <w:szCs w:val="26"/>
          <w:u w:val="single"/>
        </w:rPr>
        <w:t>F</w:t>
      </w:r>
      <w:r w:rsidRPr="00EE258D">
        <w:rPr>
          <w:rFonts w:ascii="Arial" w:hAnsi="Arial" w:cs="Arial"/>
          <w:sz w:val="26"/>
          <w:szCs w:val="26"/>
          <w:u w:val="single"/>
        </w:rPr>
        <w:t xml:space="preserve">ree </w:t>
      </w:r>
      <w:r w:rsidR="003E7BF8">
        <w:rPr>
          <w:rFonts w:ascii="Arial" w:hAnsi="Arial" w:cs="Arial"/>
          <w:sz w:val="26"/>
          <w:szCs w:val="26"/>
          <w:u w:val="single"/>
        </w:rPr>
        <w:t>S</w:t>
      </w:r>
      <w:r w:rsidRPr="00EE258D">
        <w:rPr>
          <w:rFonts w:ascii="Arial" w:hAnsi="Arial" w:cs="Arial"/>
          <w:sz w:val="26"/>
          <w:szCs w:val="26"/>
          <w:u w:val="single"/>
        </w:rPr>
        <w:t>chools</w:t>
      </w:r>
    </w:p>
    <w:p w:rsidRPr="00D14230" w:rsidR="00EE258D" w:rsidP="007C57E2" w:rsidRDefault="00EE258D">
      <w:pPr>
        <w:pStyle w:val="ListParagraph"/>
        <w:spacing w:after="0" w:line="240" w:lineRule="auto"/>
        <w:rPr>
          <w:rFonts w:ascii="Arial" w:hAnsi="Arial" w:cs="Arial"/>
          <w:sz w:val="26"/>
          <w:szCs w:val="26"/>
        </w:rPr>
      </w:pPr>
    </w:p>
    <w:p w:rsidR="003E7BF8" w:rsidP="00447347" w:rsidRDefault="003E7BF8">
      <w:pPr>
        <w:pStyle w:val="ListParagraph"/>
        <w:spacing w:after="0" w:line="240" w:lineRule="auto"/>
        <w:rPr>
          <w:rFonts w:ascii="Arial" w:hAnsi="Arial" w:cs="Arial"/>
          <w:sz w:val="26"/>
          <w:szCs w:val="26"/>
        </w:rPr>
      </w:pPr>
      <w:r>
        <w:rPr>
          <w:rFonts w:ascii="Arial" w:hAnsi="Arial" w:cs="Arial"/>
          <w:sz w:val="26"/>
          <w:szCs w:val="26"/>
        </w:rPr>
        <w:t>There are six potential new free schools in Derbyshire which are set to open on or after September 2019. The latest estimated timings are as follows:</w:t>
      </w:r>
    </w:p>
    <w:p w:rsidR="00462251" w:rsidP="00447347" w:rsidRDefault="00462251">
      <w:pPr>
        <w:pStyle w:val="ListParagraph"/>
        <w:spacing w:after="0" w:line="240" w:lineRule="auto"/>
        <w:rPr>
          <w:rFonts w:ascii="Arial" w:hAnsi="Arial" w:cs="Arial"/>
          <w:sz w:val="26"/>
          <w:szCs w:val="26"/>
        </w:rPr>
      </w:pPr>
    </w:p>
    <w:p w:rsidRPr="00CD1F01" w:rsidR="00CD1F01" w:rsidP="00447347" w:rsidRDefault="00CD1F01">
      <w:pPr>
        <w:pStyle w:val="ListParagraph"/>
        <w:spacing w:after="0" w:line="240" w:lineRule="auto"/>
        <w:rPr>
          <w:rFonts w:ascii="Arial" w:hAnsi="Arial" w:cs="Arial"/>
          <w:sz w:val="26"/>
          <w:szCs w:val="26"/>
          <w:u w:val="single"/>
        </w:rPr>
      </w:pPr>
      <w:r w:rsidRPr="00CD1F01">
        <w:rPr>
          <w:rFonts w:ascii="Arial" w:hAnsi="Arial" w:cs="Arial"/>
          <w:sz w:val="26"/>
          <w:szCs w:val="26"/>
          <w:u w:val="single"/>
        </w:rPr>
        <w:lastRenderedPageBreak/>
        <w:t>Table 1 – Proposed New Free Schools and Estimated Opening Dates</w:t>
      </w:r>
    </w:p>
    <w:p w:rsidR="00CD1F01" w:rsidP="00447347" w:rsidRDefault="00CD1F01">
      <w:pPr>
        <w:pStyle w:val="ListParagraph"/>
        <w:spacing w:after="0" w:line="240" w:lineRule="auto"/>
        <w:rPr>
          <w:rFonts w:ascii="Arial" w:hAnsi="Arial" w:cs="Arial"/>
          <w:sz w:val="26"/>
          <w:szCs w:val="26"/>
        </w:rPr>
      </w:pPr>
    </w:p>
    <w:tbl>
      <w:tblPr>
        <w:tblStyle w:val="TableGrid"/>
        <w:tblW w:w="0" w:type="auto"/>
        <w:tblInd w:w="562" w:type="dxa"/>
        <w:tblLook w:val="04A0" w:firstRow="1" w:lastRow="0" w:firstColumn="1" w:lastColumn="0" w:noHBand="0" w:noVBand="1"/>
      </w:tblPr>
      <w:tblGrid>
        <w:gridCol w:w="3066"/>
        <w:gridCol w:w="3131"/>
        <w:gridCol w:w="4146"/>
      </w:tblGrid>
      <w:tr w:rsidRPr="00560EEB" w:rsidR="003E7BF8" w:rsidTr="008D3C19">
        <w:trPr>
          <w:trHeight w:val="397" w:hRule="exact"/>
        </w:trPr>
        <w:tc>
          <w:tcPr>
            <w:tcW w:w="3085" w:type="dxa"/>
          </w:tcPr>
          <w:p w:rsidRPr="00560EEB" w:rsidR="003E7BF8" w:rsidP="002E2BF4" w:rsidRDefault="003E7BF8">
            <w:pPr>
              <w:spacing w:before="120" w:after="120"/>
              <w:rPr>
                <w:rFonts w:ascii="Arial" w:hAnsi="Arial" w:cs="Arial"/>
                <w:b/>
                <w:sz w:val="24"/>
                <w:szCs w:val="24"/>
              </w:rPr>
            </w:pPr>
            <w:r w:rsidRPr="00560EEB">
              <w:rPr>
                <w:rFonts w:ascii="Arial" w:hAnsi="Arial" w:cs="Arial"/>
                <w:b/>
                <w:sz w:val="24"/>
                <w:szCs w:val="24"/>
              </w:rPr>
              <w:t>School / Location</w:t>
            </w:r>
          </w:p>
        </w:tc>
        <w:tc>
          <w:tcPr>
            <w:tcW w:w="3152" w:type="dxa"/>
          </w:tcPr>
          <w:p w:rsidRPr="00560EEB" w:rsidR="003E7BF8" w:rsidP="002E2BF4" w:rsidRDefault="003E7BF8">
            <w:pPr>
              <w:spacing w:before="120" w:after="120"/>
              <w:jc w:val="center"/>
              <w:rPr>
                <w:rFonts w:ascii="Arial" w:hAnsi="Arial" w:cs="Arial"/>
                <w:b/>
                <w:sz w:val="24"/>
                <w:szCs w:val="24"/>
              </w:rPr>
            </w:pPr>
            <w:r>
              <w:rPr>
                <w:rFonts w:ascii="Arial" w:hAnsi="Arial" w:cs="Arial"/>
                <w:b/>
                <w:sz w:val="24"/>
                <w:szCs w:val="24"/>
              </w:rPr>
              <w:t>Opening D</w:t>
            </w:r>
            <w:r w:rsidRPr="00560EEB">
              <w:rPr>
                <w:rFonts w:ascii="Arial" w:hAnsi="Arial" w:cs="Arial"/>
                <w:b/>
                <w:sz w:val="24"/>
                <w:szCs w:val="24"/>
              </w:rPr>
              <w:t>ate</w:t>
            </w:r>
          </w:p>
        </w:tc>
        <w:tc>
          <w:tcPr>
            <w:tcW w:w="4182" w:type="dxa"/>
          </w:tcPr>
          <w:p w:rsidRPr="00560EEB" w:rsidR="003E7BF8" w:rsidP="002E2BF4" w:rsidRDefault="003E7BF8">
            <w:pPr>
              <w:spacing w:before="120" w:after="120"/>
              <w:jc w:val="center"/>
              <w:rPr>
                <w:rFonts w:ascii="Arial" w:hAnsi="Arial" w:cs="Arial"/>
                <w:b/>
                <w:sz w:val="24"/>
                <w:szCs w:val="24"/>
              </w:rPr>
            </w:pPr>
            <w:r>
              <w:rPr>
                <w:rFonts w:ascii="Arial" w:hAnsi="Arial" w:cs="Arial"/>
                <w:b/>
                <w:sz w:val="24"/>
                <w:szCs w:val="24"/>
              </w:rPr>
              <w:t>Academy S</w:t>
            </w:r>
            <w:r w:rsidRPr="00560EEB">
              <w:rPr>
                <w:rFonts w:ascii="Arial" w:hAnsi="Arial" w:cs="Arial"/>
                <w:b/>
                <w:sz w:val="24"/>
                <w:szCs w:val="24"/>
              </w:rPr>
              <w:t>ponsor</w:t>
            </w:r>
          </w:p>
        </w:tc>
      </w:tr>
      <w:tr w:rsidRPr="00560EEB" w:rsidR="003E7BF8" w:rsidTr="008D3C19">
        <w:trPr>
          <w:trHeight w:val="397" w:hRule="exact"/>
        </w:trPr>
        <w:tc>
          <w:tcPr>
            <w:tcW w:w="3085" w:type="dxa"/>
            <w:vAlign w:val="center"/>
          </w:tcPr>
          <w:p w:rsidRPr="00560EEB" w:rsidR="003E7BF8" w:rsidP="002E2BF4" w:rsidRDefault="003E7BF8">
            <w:pPr>
              <w:spacing w:before="120" w:after="120"/>
              <w:rPr>
                <w:rFonts w:ascii="Arial" w:hAnsi="Arial" w:cs="Arial"/>
                <w:sz w:val="24"/>
                <w:szCs w:val="24"/>
              </w:rPr>
            </w:pPr>
            <w:proofErr w:type="spellStart"/>
            <w:r w:rsidRPr="00560EEB">
              <w:rPr>
                <w:rFonts w:ascii="Arial" w:hAnsi="Arial" w:cs="Arial"/>
                <w:sz w:val="24"/>
                <w:szCs w:val="24"/>
              </w:rPr>
              <w:t>Chellaston</w:t>
            </w:r>
            <w:proofErr w:type="spellEnd"/>
            <w:r w:rsidRPr="00560EEB">
              <w:rPr>
                <w:rFonts w:ascii="Arial" w:hAnsi="Arial" w:cs="Arial"/>
                <w:sz w:val="24"/>
                <w:szCs w:val="24"/>
              </w:rPr>
              <w:t xml:space="preserve"> Fields</w:t>
            </w:r>
          </w:p>
        </w:tc>
        <w:tc>
          <w:tcPr>
            <w:tcW w:w="3152" w:type="dxa"/>
            <w:vAlign w:val="center"/>
          </w:tcPr>
          <w:p w:rsidRPr="00560EEB" w:rsidR="003E7BF8" w:rsidP="002E2BF4" w:rsidRDefault="003E7BF8">
            <w:pPr>
              <w:spacing w:before="120" w:after="120"/>
              <w:jc w:val="center"/>
              <w:rPr>
                <w:rFonts w:ascii="Arial" w:hAnsi="Arial" w:cs="Arial"/>
                <w:sz w:val="24"/>
                <w:szCs w:val="24"/>
              </w:rPr>
            </w:pPr>
            <w:r w:rsidRPr="00560EEB">
              <w:rPr>
                <w:rFonts w:ascii="Arial" w:hAnsi="Arial" w:cs="Arial"/>
                <w:sz w:val="24"/>
                <w:szCs w:val="24"/>
              </w:rPr>
              <w:t>September 201</w:t>
            </w:r>
            <w:r>
              <w:rPr>
                <w:rFonts w:ascii="Arial" w:hAnsi="Arial" w:cs="Arial"/>
                <w:sz w:val="24"/>
                <w:szCs w:val="24"/>
              </w:rPr>
              <w:t>9</w:t>
            </w:r>
          </w:p>
        </w:tc>
        <w:tc>
          <w:tcPr>
            <w:tcW w:w="418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George Spencer</w:t>
            </w:r>
            <w:r>
              <w:rPr>
                <w:rFonts w:ascii="Arial" w:hAnsi="Arial" w:cs="Arial"/>
                <w:sz w:val="24"/>
                <w:szCs w:val="24"/>
              </w:rPr>
              <w:t xml:space="preserve"> Academy Trust</w:t>
            </w:r>
          </w:p>
        </w:tc>
      </w:tr>
      <w:tr w:rsidRPr="00560EEB" w:rsidR="003E7BF8" w:rsidTr="008D3C19">
        <w:trPr>
          <w:trHeight w:val="397" w:hRule="exact"/>
        </w:trPr>
        <w:tc>
          <w:tcPr>
            <w:tcW w:w="3085" w:type="dxa"/>
            <w:vAlign w:val="center"/>
          </w:tcPr>
          <w:p w:rsidRPr="00560EEB" w:rsidR="003E7BF8" w:rsidP="003E7BF8" w:rsidRDefault="003E7BF8">
            <w:pPr>
              <w:spacing w:before="120" w:after="120"/>
              <w:rPr>
                <w:rFonts w:ascii="Arial" w:hAnsi="Arial" w:cs="Arial"/>
                <w:sz w:val="24"/>
                <w:szCs w:val="24"/>
              </w:rPr>
            </w:pPr>
            <w:r w:rsidRPr="00560EEB">
              <w:rPr>
                <w:rFonts w:ascii="Arial" w:hAnsi="Arial" w:cs="Arial"/>
                <w:sz w:val="24"/>
                <w:szCs w:val="24"/>
              </w:rPr>
              <w:t>Hilton</w:t>
            </w:r>
          </w:p>
        </w:tc>
        <w:tc>
          <w:tcPr>
            <w:tcW w:w="315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September 2019</w:t>
            </w:r>
          </w:p>
        </w:tc>
        <w:tc>
          <w:tcPr>
            <w:tcW w:w="418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George Spencer</w:t>
            </w:r>
            <w:r>
              <w:rPr>
                <w:rFonts w:ascii="Arial" w:hAnsi="Arial" w:cs="Arial"/>
                <w:sz w:val="24"/>
                <w:szCs w:val="24"/>
              </w:rPr>
              <w:t xml:space="preserve"> Academy Trust</w:t>
            </w:r>
          </w:p>
        </w:tc>
      </w:tr>
      <w:tr w:rsidRPr="00560EEB" w:rsidR="003E7BF8" w:rsidTr="008D3C19">
        <w:trPr>
          <w:trHeight w:val="397" w:hRule="exact"/>
        </w:trPr>
        <w:tc>
          <w:tcPr>
            <w:tcW w:w="3085" w:type="dxa"/>
            <w:vAlign w:val="center"/>
          </w:tcPr>
          <w:p w:rsidRPr="00560EEB" w:rsidR="003E7BF8" w:rsidP="003E7BF8" w:rsidRDefault="003E7BF8">
            <w:pPr>
              <w:spacing w:before="120" w:after="120"/>
              <w:rPr>
                <w:rFonts w:ascii="Arial" w:hAnsi="Arial" w:cs="Arial"/>
                <w:sz w:val="24"/>
                <w:szCs w:val="24"/>
              </w:rPr>
            </w:pPr>
            <w:proofErr w:type="spellStart"/>
            <w:r>
              <w:rPr>
                <w:rFonts w:ascii="Arial" w:hAnsi="Arial" w:cs="Arial"/>
                <w:sz w:val="24"/>
                <w:szCs w:val="24"/>
              </w:rPr>
              <w:t>Drakelow</w:t>
            </w:r>
            <w:proofErr w:type="spellEnd"/>
            <w:r>
              <w:rPr>
                <w:rFonts w:ascii="Arial" w:hAnsi="Arial" w:cs="Arial"/>
                <w:sz w:val="24"/>
                <w:szCs w:val="24"/>
              </w:rPr>
              <w:t xml:space="preserve"> Park</w:t>
            </w:r>
          </w:p>
        </w:tc>
        <w:tc>
          <w:tcPr>
            <w:tcW w:w="315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September 2019</w:t>
            </w:r>
          </w:p>
        </w:tc>
        <w:tc>
          <w:tcPr>
            <w:tcW w:w="4182" w:type="dxa"/>
            <w:vAlign w:val="center"/>
          </w:tcPr>
          <w:p w:rsidRPr="00560EEB" w:rsidR="003E7BF8" w:rsidP="003E7BF8" w:rsidRDefault="003E7BF8">
            <w:pPr>
              <w:spacing w:before="120" w:after="120"/>
              <w:jc w:val="center"/>
              <w:rPr>
                <w:rFonts w:ascii="Arial" w:hAnsi="Arial" w:cs="Arial"/>
                <w:sz w:val="24"/>
                <w:szCs w:val="24"/>
              </w:rPr>
            </w:pPr>
            <w:r>
              <w:rPr>
                <w:rFonts w:ascii="Arial" w:hAnsi="Arial" w:cs="Arial"/>
                <w:sz w:val="24"/>
                <w:szCs w:val="24"/>
              </w:rPr>
              <w:t>None yet</w:t>
            </w:r>
          </w:p>
        </w:tc>
      </w:tr>
      <w:tr w:rsidRPr="00560EEB" w:rsidR="003E7BF8" w:rsidTr="008D3C19">
        <w:trPr>
          <w:trHeight w:val="397" w:hRule="exact"/>
        </w:trPr>
        <w:tc>
          <w:tcPr>
            <w:tcW w:w="3085" w:type="dxa"/>
            <w:vAlign w:val="center"/>
          </w:tcPr>
          <w:p w:rsidRPr="00560EEB" w:rsidR="003E7BF8" w:rsidP="003E7BF8" w:rsidRDefault="003E7BF8">
            <w:pPr>
              <w:spacing w:before="120" w:after="120"/>
              <w:rPr>
                <w:rFonts w:ascii="Arial" w:hAnsi="Arial" w:cs="Arial"/>
                <w:sz w:val="24"/>
                <w:szCs w:val="24"/>
              </w:rPr>
            </w:pPr>
            <w:r w:rsidRPr="00560EEB">
              <w:rPr>
                <w:rFonts w:ascii="Arial" w:hAnsi="Arial" w:cs="Arial"/>
                <w:sz w:val="24"/>
                <w:szCs w:val="24"/>
              </w:rPr>
              <w:t>Boulton Moor</w:t>
            </w:r>
          </w:p>
        </w:tc>
        <w:tc>
          <w:tcPr>
            <w:tcW w:w="315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September 2019</w:t>
            </w:r>
          </w:p>
        </w:tc>
        <w:tc>
          <w:tcPr>
            <w:tcW w:w="418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 xml:space="preserve">None yet </w:t>
            </w:r>
          </w:p>
        </w:tc>
      </w:tr>
      <w:tr w:rsidRPr="00560EEB" w:rsidR="003E7BF8" w:rsidTr="008D3C19">
        <w:trPr>
          <w:trHeight w:val="397" w:hRule="exact"/>
        </w:trPr>
        <w:tc>
          <w:tcPr>
            <w:tcW w:w="3085" w:type="dxa"/>
            <w:vAlign w:val="center"/>
          </w:tcPr>
          <w:p w:rsidRPr="00560EEB" w:rsidR="003E7BF8" w:rsidP="003E7BF8" w:rsidRDefault="003E7BF8">
            <w:pPr>
              <w:spacing w:before="120" w:after="120"/>
              <w:rPr>
                <w:rFonts w:ascii="Arial" w:hAnsi="Arial" w:cs="Arial"/>
                <w:sz w:val="24"/>
                <w:szCs w:val="24"/>
              </w:rPr>
            </w:pPr>
            <w:r w:rsidRPr="00560EEB">
              <w:rPr>
                <w:rFonts w:ascii="Arial" w:hAnsi="Arial" w:cs="Arial"/>
                <w:sz w:val="24"/>
                <w:szCs w:val="24"/>
              </w:rPr>
              <w:t>Highfields Farm</w:t>
            </w:r>
          </w:p>
        </w:tc>
        <w:tc>
          <w:tcPr>
            <w:tcW w:w="315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September 2019</w:t>
            </w:r>
          </w:p>
        </w:tc>
        <w:tc>
          <w:tcPr>
            <w:tcW w:w="418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None yet</w:t>
            </w:r>
          </w:p>
        </w:tc>
      </w:tr>
      <w:tr w:rsidRPr="00560EEB" w:rsidR="003E7BF8" w:rsidTr="008D3C19">
        <w:trPr>
          <w:trHeight w:val="397" w:hRule="exact"/>
        </w:trPr>
        <w:tc>
          <w:tcPr>
            <w:tcW w:w="3085" w:type="dxa"/>
            <w:vAlign w:val="center"/>
          </w:tcPr>
          <w:p w:rsidRPr="00560EEB" w:rsidR="003E7BF8" w:rsidP="003E7BF8" w:rsidRDefault="003E7BF8">
            <w:pPr>
              <w:spacing w:before="120" w:after="120"/>
              <w:rPr>
                <w:rFonts w:ascii="Arial" w:hAnsi="Arial" w:cs="Arial"/>
                <w:sz w:val="24"/>
                <w:szCs w:val="24"/>
              </w:rPr>
            </w:pPr>
            <w:r w:rsidRPr="00560EEB">
              <w:rPr>
                <w:rFonts w:ascii="Arial" w:hAnsi="Arial" w:cs="Arial"/>
                <w:sz w:val="24"/>
                <w:szCs w:val="24"/>
              </w:rPr>
              <w:t>The Avenue Wingerworth</w:t>
            </w:r>
          </w:p>
        </w:tc>
        <w:tc>
          <w:tcPr>
            <w:tcW w:w="3152" w:type="dxa"/>
            <w:vAlign w:val="center"/>
          </w:tcPr>
          <w:p w:rsidRPr="00560EEB" w:rsidR="003E7BF8" w:rsidP="003E7BF8" w:rsidRDefault="003E7BF8">
            <w:pPr>
              <w:spacing w:before="120" w:after="120"/>
              <w:jc w:val="center"/>
              <w:rPr>
                <w:rFonts w:ascii="Arial" w:hAnsi="Arial" w:cs="Arial"/>
                <w:sz w:val="24"/>
                <w:szCs w:val="24"/>
              </w:rPr>
            </w:pPr>
            <w:r>
              <w:rPr>
                <w:rFonts w:ascii="Arial" w:hAnsi="Arial" w:cs="Arial"/>
                <w:sz w:val="24"/>
                <w:szCs w:val="24"/>
              </w:rPr>
              <w:t>To be determined</w:t>
            </w:r>
          </w:p>
        </w:tc>
        <w:tc>
          <w:tcPr>
            <w:tcW w:w="4182" w:type="dxa"/>
            <w:vAlign w:val="center"/>
          </w:tcPr>
          <w:p w:rsidRPr="00560EEB" w:rsidR="003E7BF8" w:rsidP="003E7BF8" w:rsidRDefault="003E7BF8">
            <w:pPr>
              <w:spacing w:before="120" w:after="120"/>
              <w:jc w:val="center"/>
              <w:rPr>
                <w:rFonts w:ascii="Arial" w:hAnsi="Arial" w:cs="Arial"/>
                <w:sz w:val="24"/>
                <w:szCs w:val="24"/>
              </w:rPr>
            </w:pPr>
            <w:r w:rsidRPr="00560EEB">
              <w:rPr>
                <w:rFonts w:ascii="Arial" w:hAnsi="Arial" w:cs="Arial"/>
                <w:sz w:val="24"/>
                <w:szCs w:val="24"/>
              </w:rPr>
              <w:t>None yet</w:t>
            </w:r>
          </w:p>
        </w:tc>
      </w:tr>
    </w:tbl>
    <w:p w:rsidR="00A61BC5" w:rsidP="00C50DFA" w:rsidRDefault="00A61BC5">
      <w:pPr>
        <w:pStyle w:val="ListParagraph"/>
        <w:spacing w:after="0" w:line="240" w:lineRule="auto"/>
        <w:rPr>
          <w:rFonts w:ascii="Arial" w:hAnsi="Arial" w:cs="Arial"/>
          <w:sz w:val="26"/>
          <w:szCs w:val="26"/>
        </w:rPr>
      </w:pPr>
    </w:p>
    <w:p w:rsidR="00594D48" w:rsidP="00447347" w:rsidRDefault="00C50DFA">
      <w:pPr>
        <w:pStyle w:val="ListParagraph"/>
        <w:spacing w:after="0" w:line="240" w:lineRule="auto"/>
        <w:rPr>
          <w:rFonts w:ascii="Arial" w:hAnsi="Arial" w:cs="Arial"/>
          <w:sz w:val="26"/>
          <w:szCs w:val="26"/>
        </w:rPr>
      </w:pPr>
      <w:r>
        <w:rPr>
          <w:rFonts w:ascii="Arial" w:hAnsi="Arial" w:cs="Arial"/>
          <w:sz w:val="26"/>
          <w:szCs w:val="26"/>
        </w:rPr>
        <w:t>Of the 56 consultation responses on this issue</w:t>
      </w:r>
      <w:r w:rsidR="00594D48">
        <w:rPr>
          <w:rFonts w:ascii="Arial" w:hAnsi="Arial" w:cs="Arial"/>
          <w:sz w:val="26"/>
          <w:szCs w:val="26"/>
        </w:rPr>
        <w:t>,</w:t>
      </w:r>
      <w:r>
        <w:rPr>
          <w:rFonts w:ascii="Arial" w:hAnsi="Arial" w:cs="Arial"/>
          <w:sz w:val="26"/>
          <w:szCs w:val="26"/>
        </w:rPr>
        <w:t xml:space="preserve"> 40 (71.4%) were against the proposal</w:t>
      </w:r>
      <w:r w:rsidR="00594D48">
        <w:rPr>
          <w:rFonts w:ascii="Arial" w:hAnsi="Arial" w:cs="Arial"/>
          <w:sz w:val="26"/>
          <w:szCs w:val="26"/>
        </w:rPr>
        <w:t xml:space="preserve"> to create a fund</w:t>
      </w:r>
      <w:r>
        <w:rPr>
          <w:rFonts w:ascii="Arial" w:hAnsi="Arial" w:cs="Arial"/>
          <w:sz w:val="26"/>
          <w:szCs w:val="26"/>
        </w:rPr>
        <w:t xml:space="preserve">. The main concerns </w:t>
      </w:r>
      <w:r w:rsidR="00594D48">
        <w:rPr>
          <w:rFonts w:ascii="Arial" w:hAnsi="Arial" w:cs="Arial"/>
          <w:sz w:val="26"/>
          <w:szCs w:val="26"/>
        </w:rPr>
        <w:t xml:space="preserve">being </w:t>
      </w:r>
      <w:r>
        <w:rPr>
          <w:rFonts w:ascii="Arial" w:hAnsi="Arial" w:cs="Arial"/>
          <w:sz w:val="26"/>
          <w:szCs w:val="26"/>
        </w:rPr>
        <w:t>the impact on existing schools of a reduction in multipliers and</w:t>
      </w:r>
      <w:r w:rsidR="0066671C">
        <w:rPr>
          <w:rFonts w:ascii="Arial" w:hAnsi="Arial" w:cs="Arial"/>
          <w:sz w:val="26"/>
          <w:szCs w:val="26"/>
        </w:rPr>
        <w:t xml:space="preserve"> a </w:t>
      </w:r>
      <w:r w:rsidR="00594D48">
        <w:rPr>
          <w:rFonts w:ascii="Arial" w:hAnsi="Arial" w:cs="Arial"/>
          <w:sz w:val="26"/>
          <w:szCs w:val="26"/>
        </w:rPr>
        <w:t xml:space="preserve">feeling </w:t>
      </w:r>
      <w:r w:rsidR="0066671C">
        <w:rPr>
          <w:rFonts w:ascii="Arial" w:hAnsi="Arial" w:cs="Arial"/>
          <w:sz w:val="26"/>
          <w:szCs w:val="26"/>
        </w:rPr>
        <w:t xml:space="preserve">from some </w:t>
      </w:r>
      <w:r w:rsidR="0066671C">
        <w:rPr>
          <w:rFonts w:ascii="Arial" w:hAnsi="Arial" w:cs="Arial"/>
          <w:sz w:val="26"/>
          <w:szCs w:val="26"/>
        </w:rPr>
        <w:t>that if new schools are required</w:t>
      </w:r>
      <w:r w:rsidR="0066671C">
        <w:rPr>
          <w:rFonts w:ascii="Arial" w:hAnsi="Arial" w:cs="Arial"/>
          <w:sz w:val="26"/>
          <w:szCs w:val="26"/>
        </w:rPr>
        <w:t xml:space="preserve"> </w:t>
      </w:r>
      <w:r w:rsidR="00594D48">
        <w:rPr>
          <w:rFonts w:ascii="Arial" w:hAnsi="Arial" w:cs="Arial"/>
          <w:sz w:val="26"/>
          <w:szCs w:val="26"/>
        </w:rPr>
        <w:t xml:space="preserve">that </w:t>
      </w:r>
      <w:r>
        <w:rPr>
          <w:rFonts w:ascii="Arial" w:hAnsi="Arial" w:cs="Arial"/>
          <w:sz w:val="26"/>
          <w:szCs w:val="26"/>
        </w:rPr>
        <w:t>the DfE should provide additional funding.</w:t>
      </w:r>
    </w:p>
    <w:p w:rsidR="00594D48" w:rsidP="00447347" w:rsidRDefault="00594D48">
      <w:pPr>
        <w:pStyle w:val="ListParagraph"/>
        <w:spacing w:after="0" w:line="240" w:lineRule="auto"/>
        <w:rPr>
          <w:rFonts w:ascii="Arial" w:hAnsi="Arial" w:cs="Arial"/>
          <w:sz w:val="26"/>
          <w:szCs w:val="26"/>
        </w:rPr>
      </w:pPr>
    </w:p>
    <w:p w:rsidR="00C50DFA" w:rsidP="00447347" w:rsidRDefault="00C50DFA">
      <w:pPr>
        <w:pStyle w:val="ListParagraph"/>
        <w:spacing w:after="0" w:line="240" w:lineRule="auto"/>
        <w:rPr>
          <w:rFonts w:ascii="Arial" w:hAnsi="Arial" w:cs="Arial"/>
          <w:sz w:val="26"/>
          <w:szCs w:val="26"/>
        </w:rPr>
      </w:pPr>
      <w:r>
        <w:rPr>
          <w:rFonts w:ascii="Arial" w:hAnsi="Arial" w:cs="Arial"/>
          <w:sz w:val="26"/>
          <w:szCs w:val="26"/>
        </w:rPr>
        <w:t>Notwithstanding the views of schools, under the regulations t</w:t>
      </w:r>
      <w:r w:rsidRPr="00447347">
        <w:rPr>
          <w:rFonts w:ascii="Arial" w:hAnsi="Arial" w:cs="Arial"/>
          <w:sz w:val="26"/>
          <w:szCs w:val="26"/>
        </w:rPr>
        <w:t xml:space="preserve">he Authority is </w:t>
      </w:r>
      <w:r w:rsidR="005D654A">
        <w:rPr>
          <w:rFonts w:ascii="Arial" w:hAnsi="Arial" w:cs="Arial"/>
          <w:sz w:val="26"/>
          <w:szCs w:val="26"/>
        </w:rPr>
        <w:t xml:space="preserve">legally </w:t>
      </w:r>
      <w:r w:rsidRPr="00447347">
        <w:rPr>
          <w:rFonts w:ascii="Arial" w:hAnsi="Arial" w:cs="Arial"/>
          <w:sz w:val="26"/>
          <w:szCs w:val="26"/>
        </w:rPr>
        <w:t xml:space="preserve">required to fund </w:t>
      </w:r>
      <w:r>
        <w:rPr>
          <w:rFonts w:ascii="Arial" w:hAnsi="Arial" w:cs="Arial"/>
          <w:sz w:val="26"/>
          <w:szCs w:val="26"/>
        </w:rPr>
        <w:t xml:space="preserve">both </w:t>
      </w:r>
      <w:r w:rsidRPr="00447347">
        <w:rPr>
          <w:rFonts w:ascii="Arial" w:hAnsi="Arial" w:cs="Arial"/>
          <w:sz w:val="26"/>
          <w:szCs w:val="26"/>
        </w:rPr>
        <w:t xml:space="preserve">the pre </w:t>
      </w:r>
      <w:r>
        <w:rPr>
          <w:rFonts w:ascii="Arial" w:hAnsi="Arial" w:cs="Arial"/>
          <w:sz w:val="26"/>
          <w:szCs w:val="26"/>
        </w:rPr>
        <w:t>&amp;</w:t>
      </w:r>
      <w:r w:rsidRPr="00447347">
        <w:rPr>
          <w:rFonts w:ascii="Arial" w:hAnsi="Arial" w:cs="Arial"/>
          <w:sz w:val="26"/>
          <w:szCs w:val="26"/>
        </w:rPr>
        <w:t xml:space="preserve"> post opening </w:t>
      </w:r>
      <w:r>
        <w:rPr>
          <w:rFonts w:ascii="Arial" w:hAnsi="Arial" w:cs="Arial"/>
          <w:sz w:val="26"/>
          <w:szCs w:val="26"/>
        </w:rPr>
        <w:t xml:space="preserve">costs </w:t>
      </w:r>
      <w:r w:rsidRPr="00447347">
        <w:rPr>
          <w:rFonts w:ascii="Arial" w:hAnsi="Arial" w:cs="Arial"/>
          <w:sz w:val="26"/>
          <w:szCs w:val="26"/>
        </w:rPr>
        <w:t>of new free schools.</w:t>
      </w:r>
      <w:r>
        <w:rPr>
          <w:rFonts w:ascii="Arial" w:hAnsi="Arial" w:cs="Arial"/>
          <w:sz w:val="26"/>
          <w:szCs w:val="26"/>
        </w:rPr>
        <w:t xml:space="preserve"> </w:t>
      </w:r>
    </w:p>
    <w:p w:rsidR="00C50DFA" w:rsidP="00447347" w:rsidRDefault="00C50DFA">
      <w:pPr>
        <w:pStyle w:val="ListParagraph"/>
        <w:spacing w:after="0" w:line="240" w:lineRule="auto"/>
        <w:rPr>
          <w:rFonts w:ascii="Arial" w:hAnsi="Arial" w:cs="Arial"/>
          <w:sz w:val="26"/>
          <w:szCs w:val="26"/>
        </w:rPr>
      </w:pPr>
    </w:p>
    <w:p w:rsidR="003E7BF8" w:rsidP="003E7BF8" w:rsidRDefault="003E7BF8">
      <w:pPr>
        <w:pStyle w:val="ListParagraph"/>
        <w:spacing w:after="0" w:line="240" w:lineRule="auto"/>
        <w:ind w:left="426"/>
        <w:rPr>
          <w:rFonts w:ascii="Arial" w:hAnsi="Arial" w:cs="Arial"/>
          <w:sz w:val="26"/>
          <w:szCs w:val="26"/>
        </w:rPr>
      </w:pPr>
      <w:r>
        <w:rPr>
          <w:rFonts w:ascii="Arial" w:hAnsi="Arial" w:cs="Arial"/>
          <w:sz w:val="26"/>
          <w:szCs w:val="26"/>
        </w:rPr>
        <w:t>2.2.1</w:t>
      </w:r>
      <w:r>
        <w:rPr>
          <w:rFonts w:ascii="Arial" w:hAnsi="Arial" w:cs="Arial"/>
          <w:sz w:val="26"/>
          <w:szCs w:val="26"/>
        </w:rPr>
        <w:tab/>
      </w:r>
      <w:r w:rsidRPr="003E7BF8">
        <w:rPr>
          <w:rFonts w:ascii="Arial" w:hAnsi="Arial" w:cs="Arial"/>
          <w:sz w:val="26"/>
          <w:szCs w:val="26"/>
          <w:u w:val="single"/>
        </w:rPr>
        <w:t>Pre-opening costs</w:t>
      </w:r>
    </w:p>
    <w:p w:rsidR="003E7BF8" w:rsidP="00447347" w:rsidRDefault="003E7BF8">
      <w:pPr>
        <w:pStyle w:val="ListParagraph"/>
        <w:spacing w:after="0" w:line="240" w:lineRule="auto"/>
        <w:rPr>
          <w:rFonts w:ascii="Arial" w:hAnsi="Arial" w:cs="Arial"/>
          <w:sz w:val="26"/>
          <w:szCs w:val="26"/>
        </w:rPr>
      </w:pPr>
    </w:p>
    <w:p w:rsidR="00447347" w:rsidP="00447347" w:rsidRDefault="00447347">
      <w:pPr>
        <w:pStyle w:val="ListParagraph"/>
        <w:spacing w:after="0" w:line="240" w:lineRule="auto"/>
        <w:rPr>
          <w:rFonts w:ascii="Arial" w:hAnsi="Arial" w:cs="Arial"/>
          <w:sz w:val="26"/>
          <w:szCs w:val="26"/>
        </w:rPr>
      </w:pPr>
      <w:r w:rsidRPr="00447347">
        <w:rPr>
          <w:rFonts w:ascii="Arial" w:hAnsi="Arial" w:cs="Arial"/>
          <w:sz w:val="26"/>
          <w:szCs w:val="26"/>
        </w:rPr>
        <w:t>Pre-opening costs</w:t>
      </w:r>
      <w:r>
        <w:rPr>
          <w:rFonts w:ascii="Arial" w:hAnsi="Arial" w:cs="Arial"/>
          <w:sz w:val="26"/>
          <w:szCs w:val="26"/>
        </w:rPr>
        <w:t xml:space="preserve">, or more accurately Project Development Grants (PDG), support the </w:t>
      </w:r>
      <w:r w:rsidRPr="00447347">
        <w:rPr>
          <w:rFonts w:ascii="Arial" w:hAnsi="Arial" w:cs="Arial"/>
          <w:sz w:val="26"/>
          <w:szCs w:val="26"/>
        </w:rPr>
        <w:t>costs of staff and other services incurred in preparing for the school’s opening. Typically the costs are around £220</w:t>
      </w:r>
      <w:r w:rsidR="00CD1F01">
        <w:rPr>
          <w:rFonts w:ascii="Arial" w:hAnsi="Arial" w:cs="Arial"/>
          <w:sz w:val="26"/>
          <w:szCs w:val="26"/>
        </w:rPr>
        <w:t>,000</w:t>
      </w:r>
      <w:r w:rsidRPr="00447347">
        <w:rPr>
          <w:rFonts w:ascii="Arial" w:hAnsi="Arial" w:cs="Arial"/>
          <w:sz w:val="26"/>
          <w:szCs w:val="26"/>
        </w:rPr>
        <w:t xml:space="preserve"> per school although this figure reduces to £</w:t>
      </w:r>
      <w:r>
        <w:rPr>
          <w:rFonts w:ascii="Arial" w:hAnsi="Arial" w:cs="Arial"/>
          <w:sz w:val="26"/>
          <w:szCs w:val="26"/>
        </w:rPr>
        <w:t>150</w:t>
      </w:r>
      <w:r w:rsidR="00CD1F01">
        <w:rPr>
          <w:rFonts w:ascii="Arial" w:hAnsi="Arial" w:cs="Arial"/>
          <w:sz w:val="26"/>
          <w:szCs w:val="26"/>
        </w:rPr>
        <w:t xml:space="preserve">,000 </w:t>
      </w:r>
      <w:r w:rsidRPr="00447347">
        <w:rPr>
          <w:rFonts w:ascii="Arial" w:hAnsi="Arial" w:cs="Arial"/>
          <w:sz w:val="26"/>
          <w:szCs w:val="26"/>
        </w:rPr>
        <w:t xml:space="preserve">if </w:t>
      </w:r>
      <w:r>
        <w:rPr>
          <w:rFonts w:ascii="Arial" w:hAnsi="Arial" w:cs="Arial"/>
          <w:sz w:val="26"/>
          <w:szCs w:val="26"/>
        </w:rPr>
        <w:t xml:space="preserve">a Trust opens </w:t>
      </w:r>
      <w:r w:rsidRPr="00447347">
        <w:rPr>
          <w:rFonts w:ascii="Arial" w:hAnsi="Arial" w:cs="Arial"/>
          <w:sz w:val="26"/>
          <w:szCs w:val="26"/>
        </w:rPr>
        <w:t xml:space="preserve">more than one school in the same </w:t>
      </w:r>
      <w:r>
        <w:rPr>
          <w:rFonts w:ascii="Arial" w:hAnsi="Arial" w:cs="Arial"/>
          <w:sz w:val="26"/>
          <w:szCs w:val="26"/>
        </w:rPr>
        <w:t xml:space="preserve">academic </w:t>
      </w:r>
      <w:r w:rsidRPr="00447347">
        <w:rPr>
          <w:rFonts w:ascii="Arial" w:hAnsi="Arial" w:cs="Arial"/>
          <w:sz w:val="26"/>
          <w:szCs w:val="26"/>
        </w:rPr>
        <w:t xml:space="preserve">year. </w:t>
      </w:r>
    </w:p>
    <w:p w:rsidR="003E7BF8" w:rsidP="00447347" w:rsidRDefault="003E7BF8">
      <w:pPr>
        <w:pStyle w:val="ListParagraph"/>
        <w:spacing w:after="0" w:line="240" w:lineRule="auto"/>
        <w:rPr>
          <w:rFonts w:ascii="Arial" w:hAnsi="Arial" w:cs="Arial"/>
          <w:sz w:val="26"/>
          <w:szCs w:val="26"/>
        </w:rPr>
      </w:pPr>
    </w:p>
    <w:p w:rsidR="003E7BF8" w:rsidP="003E7BF8" w:rsidRDefault="003E7BF8">
      <w:pPr>
        <w:pStyle w:val="ListParagraph"/>
        <w:spacing w:after="0" w:line="240" w:lineRule="auto"/>
        <w:rPr>
          <w:rFonts w:ascii="Arial" w:hAnsi="Arial" w:cs="Arial"/>
          <w:sz w:val="26"/>
          <w:szCs w:val="26"/>
        </w:rPr>
      </w:pPr>
      <w:r>
        <w:rPr>
          <w:rFonts w:ascii="Arial" w:hAnsi="Arial" w:cs="Arial"/>
          <w:sz w:val="26"/>
          <w:szCs w:val="26"/>
        </w:rPr>
        <w:t>Two schools (</w:t>
      </w:r>
      <w:proofErr w:type="spellStart"/>
      <w:r>
        <w:rPr>
          <w:rFonts w:ascii="Arial" w:hAnsi="Arial" w:cs="Arial"/>
          <w:sz w:val="26"/>
          <w:szCs w:val="26"/>
        </w:rPr>
        <w:t>Chellaston</w:t>
      </w:r>
      <w:proofErr w:type="spellEnd"/>
      <w:r>
        <w:rPr>
          <w:rFonts w:ascii="Arial" w:hAnsi="Arial" w:cs="Arial"/>
          <w:sz w:val="26"/>
          <w:szCs w:val="26"/>
        </w:rPr>
        <w:t xml:space="preserve"> and The </w:t>
      </w:r>
      <w:proofErr w:type="spellStart"/>
      <w:r>
        <w:rPr>
          <w:rFonts w:ascii="Arial" w:hAnsi="Arial" w:cs="Arial"/>
          <w:sz w:val="26"/>
          <w:szCs w:val="26"/>
        </w:rPr>
        <w:t>Mease</w:t>
      </w:r>
      <w:proofErr w:type="spellEnd"/>
      <w:r>
        <w:rPr>
          <w:rFonts w:ascii="Arial" w:hAnsi="Arial" w:cs="Arial"/>
          <w:sz w:val="26"/>
          <w:szCs w:val="26"/>
        </w:rPr>
        <w:t xml:space="preserve">, Hilton) are planned to open from September 2019 with George Spencer Academy Trust as the sponsor. Funding for a combined pre-opening grant of £0.370m will be needed for 2018-19. </w:t>
      </w:r>
    </w:p>
    <w:p w:rsidR="003E7BF8" w:rsidP="003E7BF8" w:rsidRDefault="003E7BF8">
      <w:pPr>
        <w:pStyle w:val="ListParagraph"/>
        <w:spacing w:after="0" w:line="240" w:lineRule="auto"/>
        <w:rPr>
          <w:rFonts w:ascii="Arial" w:hAnsi="Arial" w:cs="Arial"/>
          <w:sz w:val="26"/>
          <w:szCs w:val="26"/>
        </w:rPr>
      </w:pPr>
    </w:p>
    <w:p w:rsidR="003E7BF8" w:rsidP="003E7BF8" w:rsidRDefault="003E7BF8">
      <w:pPr>
        <w:pStyle w:val="ListParagraph"/>
        <w:spacing w:after="0" w:line="240" w:lineRule="auto"/>
        <w:rPr>
          <w:rFonts w:ascii="Arial" w:hAnsi="Arial" w:cs="Arial"/>
          <w:sz w:val="26"/>
          <w:szCs w:val="26"/>
        </w:rPr>
      </w:pPr>
      <w:r>
        <w:rPr>
          <w:rFonts w:ascii="Arial" w:hAnsi="Arial" w:cs="Arial"/>
          <w:sz w:val="26"/>
          <w:szCs w:val="26"/>
        </w:rPr>
        <w:t>Potentially another 3 schools will also require pre-opening support to be paid in 2018-19</w:t>
      </w:r>
      <w:r w:rsidR="006A276E">
        <w:rPr>
          <w:rFonts w:ascii="Arial" w:hAnsi="Arial" w:cs="Arial"/>
          <w:sz w:val="26"/>
          <w:szCs w:val="26"/>
        </w:rPr>
        <w:t>, prior to opening in 201</w:t>
      </w:r>
      <w:r w:rsidR="00DF2FF2">
        <w:rPr>
          <w:rFonts w:ascii="Arial" w:hAnsi="Arial" w:cs="Arial"/>
          <w:sz w:val="26"/>
          <w:szCs w:val="26"/>
        </w:rPr>
        <w:t>9</w:t>
      </w:r>
      <w:r w:rsidR="006A276E">
        <w:rPr>
          <w:rFonts w:ascii="Arial" w:hAnsi="Arial" w:cs="Arial"/>
          <w:sz w:val="26"/>
          <w:szCs w:val="26"/>
        </w:rPr>
        <w:t>-20.  I</w:t>
      </w:r>
      <w:r>
        <w:rPr>
          <w:rFonts w:ascii="Arial" w:hAnsi="Arial" w:cs="Arial"/>
          <w:sz w:val="26"/>
          <w:szCs w:val="26"/>
        </w:rPr>
        <w:t>t is recommended that £0.660m be set aside for this purpose as there is no guarantee that the same sponsor will be awarded more than one school</w:t>
      </w:r>
      <w:r w:rsidR="006A276E">
        <w:rPr>
          <w:rFonts w:ascii="Arial" w:hAnsi="Arial" w:cs="Arial"/>
          <w:sz w:val="26"/>
          <w:szCs w:val="26"/>
        </w:rPr>
        <w:t xml:space="preserve"> and thus £0.220m could be payable in each case</w:t>
      </w:r>
      <w:r>
        <w:rPr>
          <w:rFonts w:ascii="Arial" w:hAnsi="Arial" w:cs="Arial"/>
          <w:sz w:val="26"/>
          <w:szCs w:val="26"/>
        </w:rPr>
        <w:t>.</w:t>
      </w:r>
    </w:p>
    <w:p w:rsidR="00FF6E0F" w:rsidP="003E7BF8" w:rsidRDefault="00FF6E0F">
      <w:pPr>
        <w:pStyle w:val="ListParagraph"/>
        <w:spacing w:after="0" w:line="240" w:lineRule="auto"/>
        <w:rPr>
          <w:rFonts w:ascii="Arial" w:hAnsi="Arial" w:cs="Arial"/>
          <w:sz w:val="26"/>
          <w:szCs w:val="26"/>
        </w:rPr>
      </w:pPr>
    </w:p>
    <w:p w:rsidR="00FF6E0F" w:rsidP="003E7BF8" w:rsidRDefault="00FF6E0F">
      <w:pPr>
        <w:pStyle w:val="ListParagraph"/>
        <w:spacing w:after="0" w:line="240" w:lineRule="auto"/>
        <w:rPr>
          <w:rFonts w:ascii="Arial" w:hAnsi="Arial" w:cs="Arial"/>
          <w:sz w:val="26"/>
          <w:szCs w:val="26"/>
        </w:rPr>
      </w:pPr>
      <w:r>
        <w:rPr>
          <w:rFonts w:ascii="Arial" w:hAnsi="Arial" w:cs="Arial"/>
          <w:sz w:val="26"/>
          <w:szCs w:val="26"/>
        </w:rPr>
        <w:t>The above allocation</w:t>
      </w:r>
      <w:r w:rsidR="006A276E">
        <w:rPr>
          <w:rFonts w:ascii="Arial" w:hAnsi="Arial" w:cs="Arial"/>
          <w:sz w:val="26"/>
          <w:szCs w:val="26"/>
        </w:rPr>
        <w:t>s</w:t>
      </w:r>
      <w:r>
        <w:rPr>
          <w:rFonts w:ascii="Arial" w:hAnsi="Arial" w:cs="Arial"/>
          <w:sz w:val="26"/>
          <w:szCs w:val="26"/>
        </w:rPr>
        <w:t xml:space="preserve"> will fully utilise the </w:t>
      </w:r>
      <w:r w:rsidR="00937AD3">
        <w:rPr>
          <w:rFonts w:ascii="Arial" w:hAnsi="Arial" w:cs="Arial"/>
          <w:sz w:val="26"/>
          <w:szCs w:val="26"/>
        </w:rPr>
        <w:t xml:space="preserve">existing </w:t>
      </w:r>
      <w:r>
        <w:rPr>
          <w:rFonts w:ascii="Arial" w:hAnsi="Arial" w:cs="Arial"/>
          <w:sz w:val="26"/>
          <w:szCs w:val="26"/>
        </w:rPr>
        <w:t xml:space="preserve">reserve, the one-off funding for </w:t>
      </w:r>
      <w:r w:rsidR="00DF2FF2">
        <w:rPr>
          <w:rFonts w:ascii="Arial" w:hAnsi="Arial" w:cs="Arial"/>
          <w:sz w:val="26"/>
          <w:szCs w:val="26"/>
        </w:rPr>
        <w:t xml:space="preserve">any </w:t>
      </w:r>
      <w:r>
        <w:rPr>
          <w:rFonts w:ascii="Arial" w:hAnsi="Arial" w:cs="Arial"/>
          <w:sz w:val="26"/>
          <w:szCs w:val="26"/>
        </w:rPr>
        <w:t xml:space="preserve">further free schools will have to be </w:t>
      </w:r>
      <w:r w:rsidR="005D654A">
        <w:rPr>
          <w:rFonts w:ascii="Arial" w:hAnsi="Arial" w:cs="Arial"/>
          <w:sz w:val="26"/>
          <w:szCs w:val="26"/>
        </w:rPr>
        <w:t xml:space="preserve">found </w:t>
      </w:r>
      <w:r>
        <w:rPr>
          <w:rFonts w:ascii="Arial" w:hAnsi="Arial" w:cs="Arial"/>
          <w:sz w:val="26"/>
          <w:szCs w:val="26"/>
        </w:rPr>
        <w:t xml:space="preserve">from </w:t>
      </w:r>
      <w:r w:rsidR="005D654A">
        <w:rPr>
          <w:rFonts w:ascii="Arial" w:hAnsi="Arial" w:cs="Arial"/>
          <w:sz w:val="26"/>
          <w:szCs w:val="26"/>
        </w:rPr>
        <w:t xml:space="preserve">existing </w:t>
      </w:r>
      <w:r>
        <w:rPr>
          <w:rFonts w:ascii="Arial" w:hAnsi="Arial" w:cs="Arial"/>
          <w:sz w:val="26"/>
          <w:szCs w:val="26"/>
        </w:rPr>
        <w:t>residual DSG reserves.</w:t>
      </w:r>
    </w:p>
    <w:p w:rsidR="003E7BF8" w:rsidP="003E7BF8" w:rsidRDefault="003E7BF8">
      <w:pPr>
        <w:pStyle w:val="ListParagraph"/>
        <w:spacing w:after="0" w:line="240" w:lineRule="auto"/>
        <w:rPr>
          <w:rFonts w:ascii="Arial" w:hAnsi="Arial" w:cs="Arial"/>
          <w:sz w:val="26"/>
          <w:szCs w:val="26"/>
        </w:rPr>
      </w:pPr>
    </w:p>
    <w:p w:rsidR="003E7BF8" w:rsidP="003E7BF8" w:rsidRDefault="003E7BF8">
      <w:pPr>
        <w:pStyle w:val="ListParagraph"/>
        <w:spacing w:after="0" w:line="240" w:lineRule="auto"/>
        <w:rPr>
          <w:rFonts w:ascii="Arial" w:hAnsi="Arial" w:cs="Arial"/>
          <w:sz w:val="26"/>
          <w:szCs w:val="26"/>
        </w:rPr>
      </w:pPr>
      <w:r w:rsidRPr="003E7BF8">
        <w:rPr>
          <w:rFonts w:ascii="Arial" w:hAnsi="Arial" w:cs="Arial"/>
          <w:b/>
          <w:sz w:val="26"/>
          <w:szCs w:val="26"/>
        </w:rPr>
        <w:t xml:space="preserve">Recommendation </w:t>
      </w:r>
      <w:r w:rsidR="00DF2FF2">
        <w:rPr>
          <w:rFonts w:ascii="Arial" w:hAnsi="Arial" w:cs="Arial"/>
          <w:b/>
          <w:sz w:val="26"/>
          <w:szCs w:val="26"/>
        </w:rPr>
        <w:t>4</w:t>
      </w:r>
      <w:r>
        <w:rPr>
          <w:rFonts w:ascii="Arial" w:hAnsi="Arial" w:cs="Arial"/>
          <w:sz w:val="26"/>
          <w:szCs w:val="26"/>
        </w:rPr>
        <w:t xml:space="preserve"> – That the Schools Forum agree a budget of £1.030m in 2018-19 to meet the costs of pre-opening support</w:t>
      </w:r>
      <w:r w:rsidR="00FF6E0F">
        <w:rPr>
          <w:rFonts w:ascii="Arial" w:hAnsi="Arial" w:cs="Arial"/>
          <w:sz w:val="26"/>
          <w:szCs w:val="26"/>
        </w:rPr>
        <w:t xml:space="preserve"> to new free schools</w:t>
      </w:r>
      <w:r w:rsidR="00BD7288">
        <w:rPr>
          <w:rFonts w:ascii="Arial" w:hAnsi="Arial" w:cs="Arial"/>
          <w:sz w:val="26"/>
          <w:szCs w:val="26"/>
        </w:rPr>
        <w:t>,</w:t>
      </w:r>
      <w:r w:rsidR="005D654A">
        <w:rPr>
          <w:rFonts w:ascii="Arial" w:hAnsi="Arial" w:cs="Arial"/>
          <w:sz w:val="26"/>
          <w:szCs w:val="26"/>
        </w:rPr>
        <w:t xml:space="preserve"> to be funded from DSG reserves</w:t>
      </w:r>
      <w:r>
        <w:rPr>
          <w:rFonts w:ascii="Arial" w:hAnsi="Arial" w:cs="Arial"/>
          <w:sz w:val="26"/>
          <w:szCs w:val="26"/>
        </w:rPr>
        <w:t>.</w:t>
      </w:r>
    </w:p>
    <w:p w:rsidR="00FF6E0F" w:rsidP="003E7BF8" w:rsidRDefault="00FF6E0F">
      <w:pPr>
        <w:pStyle w:val="ListParagraph"/>
        <w:spacing w:after="0" w:line="240" w:lineRule="auto"/>
        <w:rPr>
          <w:rFonts w:ascii="Arial" w:hAnsi="Arial" w:cs="Arial"/>
          <w:sz w:val="26"/>
          <w:szCs w:val="26"/>
        </w:rPr>
      </w:pPr>
    </w:p>
    <w:p w:rsidR="00FF6E0F" w:rsidP="00FF6E0F" w:rsidRDefault="00FF6E0F">
      <w:pPr>
        <w:pStyle w:val="ListParagraph"/>
        <w:spacing w:after="0" w:line="240" w:lineRule="auto"/>
        <w:rPr>
          <w:rFonts w:ascii="Arial" w:hAnsi="Arial" w:cs="Arial"/>
          <w:sz w:val="26"/>
          <w:szCs w:val="26"/>
        </w:rPr>
      </w:pPr>
      <w:r w:rsidRPr="003E7BF8">
        <w:rPr>
          <w:rFonts w:ascii="Arial" w:hAnsi="Arial" w:cs="Arial"/>
          <w:b/>
          <w:sz w:val="26"/>
          <w:szCs w:val="26"/>
        </w:rPr>
        <w:t xml:space="preserve">Recommendation </w:t>
      </w:r>
      <w:r w:rsidR="00DF2FF2">
        <w:rPr>
          <w:rFonts w:ascii="Arial" w:hAnsi="Arial" w:cs="Arial"/>
          <w:b/>
          <w:sz w:val="26"/>
          <w:szCs w:val="26"/>
        </w:rPr>
        <w:t>5</w:t>
      </w:r>
      <w:r>
        <w:rPr>
          <w:rFonts w:ascii="Arial" w:hAnsi="Arial" w:cs="Arial"/>
          <w:sz w:val="26"/>
          <w:szCs w:val="26"/>
        </w:rPr>
        <w:t xml:space="preserve"> – That the Schools Forum agree to set aside a further £</w:t>
      </w:r>
      <w:r w:rsidR="007643CB">
        <w:rPr>
          <w:rFonts w:ascii="Arial" w:hAnsi="Arial" w:cs="Arial"/>
          <w:sz w:val="26"/>
          <w:szCs w:val="26"/>
        </w:rPr>
        <w:t>0.</w:t>
      </w:r>
      <w:r>
        <w:rPr>
          <w:rFonts w:ascii="Arial" w:hAnsi="Arial" w:cs="Arial"/>
          <w:sz w:val="26"/>
          <w:szCs w:val="26"/>
        </w:rPr>
        <w:t>220</w:t>
      </w:r>
      <w:r w:rsidR="007643CB">
        <w:rPr>
          <w:rFonts w:ascii="Arial" w:hAnsi="Arial" w:cs="Arial"/>
          <w:sz w:val="26"/>
          <w:szCs w:val="26"/>
        </w:rPr>
        <w:t>m</w:t>
      </w:r>
      <w:r>
        <w:rPr>
          <w:rFonts w:ascii="Arial" w:hAnsi="Arial" w:cs="Arial"/>
          <w:sz w:val="26"/>
          <w:szCs w:val="26"/>
        </w:rPr>
        <w:t xml:space="preserve"> for pre-opening support costs </w:t>
      </w:r>
      <w:r w:rsidR="007643CB">
        <w:rPr>
          <w:rFonts w:ascii="Arial" w:hAnsi="Arial" w:cs="Arial"/>
          <w:sz w:val="26"/>
          <w:szCs w:val="26"/>
        </w:rPr>
        <w:t>in respect of the proposed new free school, T</w:t>
      </w:r>
      <w:r>
        <w:rPr>
          <w:rFonts w:ascii="Arial" w:hAnsi="Arial" w:cs="Arial"/>
          <w:sz w:val="26"/>
          <w:szCs w:val="26"/>
        </w:rPr>
        <w:t>he Avenue</w:t>
      </w:r>
      <w:r w:rsidR="007643CB">
        <w:rPr>
          <w:rFonts w:ascii="Arial" w:hAnsi="Arial" w:cs="Arial"/>
          <w:sz w:val="26"/>
          <w:szCs w:val="26"/>
        </w:rPr>
        <w:t xml:space="preserve"> -</w:t>
      </w:r>
      <w:r>
        <w:rPr>
          <w:rFonts w:ascii="Arial" w:hAnsi="Arial" w:cs="Arial"/>
          <w:sz w:val="26"/>
          <w:szCs w:val="26"/>
        </w:rPr>
        <w:t xml:space="preserve"> W</w:t>
      </w:r>
      <w:r w:rsidR="000360E1">
        <w:rPr>
          <w:rFonts w:ascii="Arial" w:hAnsi="Arial" w:cs="Arial"/>
          <w:sz w:val="26"/>
          <w:szCs w:val="26"/>
        </w:rPr>
        <w:t>i</w:t>
      </w:r>
      <w:r>
        <w:rPr>
          <w:rFonts w:ascii="Arial" w:hAnsi="Arial" w:cs="Arial"/>
          <w:sz w:val="26"/>
          <w:szCs w:val="26"/>
        </w:rPr>
        <w:t>ngerworth</w:t>
      </w:r>
      <w:r w:rsidR="00CB09B2">
        <w:rPr>
          <w:rFonts w:ascii="Arial" w:hAnsi="Arial" w:cs="Arial"/>
          <w:sz w:val="26"/>
          <w:szCs w:val="26"/>
        </w:rPr>
        <w:t>,</w:t>
      </w:r>
      <w:r w:rsidR="005D654A">
        <w:rPr>
          <w:rFonts w:ascii="Arial" w:hAnsi="Arial" w:cs="Arial"/>
          <w:sz w:val="26"/>
          <w:szCs w:val="26"/>
        </w:rPr>
        <w:t xml:space="preserve"> from DSG reserves</w:t>
      </w:r>
      <w:r>
        <w:rPr>
          <w:rFonts w:ascii="Arial" w:hAnsi="Arial" w:cs="Arial"/>
          <w:sz w:val="26"/>
          <w:szCs w:val="26"/>
        </w:rPr>
        <w:t>.</w:t>
      </w:r>
    </w:p>
    <w:p w:rsidR="003E7BF8" w:rsidP="003E7BF8" w:rsidRDefault="003E7BF8">
      <w:pPr>
        <w:pStyle w:val="ListParagraph"/>
        <w:spacing w:after="0" w:line="240" w:lineRule="auto"/>
        <w:rPr>
          <w:rFonts w:ascii="Arial" w:hAnsi="Arial" w:cs="Arial"/>
          <w:sz w:val="26"/>
          <w:szCs w:val="26"/>
        </w:rPr>
      </w:pPr>
    </w:p>
    <w:p w:rsidR="003E7BF8" w:rsidP="003E7BF8" w:rsidRDefault="003E7BF8">
      <w:pPr>
        <w:pStyle w:val="ListParagraph"/>
        <w:spacing w:after="0" w:line="240" w:lineRule="auto"/>
        <w:ind w:left="426"/>
        <w:rPr>
          <w:rFonts w:ascii="Arial" w:hAnsi="Arial" w:cs="Arial"/>
          <w:sz w:val="26"/>
          <w:szCs w:val="26"/>
        </w:rPr>
      </w:pPr>
      <w:r>
        <w:rPr>
          <w:rFonts w:ascii="Arial" w:hAnsi="Arial" w:cs="Arial"/>
          <w:sz w:val="26"/>
          <w:szCs w:val="26"/>
        </w:rPr>
        <w:t>2.2.2</w:t>
      </w:r>
      <w:r>
        <w:rPr>
          <w:rFonts w:ascii="Arial" w:hAnsi="Arial" w:cs="Arial"/>
          <w:sz w:val="26"/>
          <w:szCs w:val="26"/>
        </w:rPr>
        <w:tab/>
      </w:r>
      <w:r w:rsidRPr="003E7BF8">
        <w:rPr>
          <w:rFonts w:ascii="Arial" w:hAnsi="Arial" w:cs="Arial"/>
          <w:sz w:val="26"/>
          <w:szCs w:val="26"/>
          <w:u w:val="single"/>
        </w:rPr>
        <w:t>P</w:t>
      </w:r>
      <w:r>
        <w:rPr>
          <w:rFonts w:ascii="Arial" w:hAnsi="Arial" w:cs="Arial"/>
          <w:sz w:val="26"/>
          <w:szCs w:val="26"/>
          <w:u w:val="single"/>
        </w:rPr>
        <w:t>ost</w:t>
      </w:r>
      <w:r w:rsidRPr="003E7BF8">
        <w:rPr>
          <w:rFonts w:ascii="Arial" w:hAnsi="Arial" w:cs="Arial"/>
          <w:sz w:val="26"/>
          <w:szCs w:val="26"/>
          <w:u w:val="single"/>
        </w:rPr>
        <w:t>-opening costs</w:t>
      </w:r>
    </w:p>
    <w:p w:rsidR="003E7BF8" w:rsidP="003E7BF8" w:rsidRDefault="003E7BF8">
      <w:pPr>
        <w:pStyle w:val="ListParagraph"/>
        <w:spacing w:after="0" w:line="240" w:lineRule="auto"/>
        <w:rPr>
          <w:rFonts w:ascii="Arial" w:hAnsi="Arial" w:cs="Arial"/>
          <w:sz w:val="26"/>
          <w:szCs w:val="26"/>
        </w:rPr>
      </w:pPr>
    </w:p>
    <w:p w:rsidRPr="00447347" w:rsidR="00447347" w:rsidP="00447347" w:rsidRDefault="00447347">
      <w:pPr>
        <w:pStyle w:val="ListParagraph"/>
        <w:spacing w:after="0" w:line="240" w:lineRule="auto"/>
        <w:rPr>
          <w:rFonts w:ascii="Arial" w:hAnsi="Arial" w:cs="Arial"/>
          <w:sz w:val="26"/>
          <w:szCs w:val="26"/>
        </w:rPr>
      </w:pPr>
      <w:r w:rsidRPr="00447347">
        <w:rPr>
          <w:rFonts w:ascii="Arial" w:hAnsi="Arial" w:cs="Arial"/>
          <w:sz w:val="26"/>
          <w:szCs w:val="26"/>
        </w:rPr>
        <w:t xml:space="preserve">The post-opening </w:t>
      </w:r>
      <w:r w:rsidR="00DF2FF2">
        <w:rPr>
          <w:rFonts w:ascii="Arial" w:hAnsi="Arial" w:cs="Arial"/>
          <w:sz w:val="26"/>
          <w:szCs w:val="26"/>
        </w:rPr>
        <w:t xml:space="preserve">support is </w:t>
      </w:r>
      <w:r w:rsidRPr="00447347">
        <w:rPr>
          <w:rFonts w:ascii="Arial" w:hAnsi="Arial" w:cs="Arial"/>
          <w:sz w:val="26"/>
          <w:szCs w:val="26"/>
        </w:rPr>
        <w:t>provide</w:t>
      </w:r>
      <w:r w:rsidR="00DF2FF2">
        <w:rPr>
          <w:rFonts w:ascii="Arial" w:hAnsi="Arial" w:cs="Arial"/>
          <w:sz w:val="26"/>
          <w:szCs w:val="26"/>
        </w:rPr>
        <w:t xml:space="preserve">d </w:t>
      </w:r>
      <w:r w:rsidR="00FF6E0F">
        <w:rPr>
          <w:rFonts w:ascii="Arial" w:hAnsi="Arial" w:cs="Arial"/>
          <w:sz w:val="26"/>
          <w:szCs w:val="26"/>
        </w:rPr>
        <w:t xml:space="preserve">via </w:t>
      </w:r>
      <w:r w:rsidRPr="00447347">
        <w:rPr>
          <w:rFonts w:ascii="Arial" w:hAnsi="Arial" w:cs="Arial"/>
          <w:sz w:val="26"/>
          <w:szCs w:val="26"/>
        </w:rPr>
        <w:t xml:space="preserve">two elements as the </w:t>
      </w:r>
      <w:r w:rsidR="00FF6E0F">
        <w:rPr>
          <w:rFonts w:ascii="Arial" w:hAnsi="Arial" w:cs="Arial"/>
          <w:sz w:val="26"/>
          <w:szCs w:val="26"/>
        </w:rPr>
        <w:t>f</w:t>
      </w:r>
      <w:r w:rsidRPr="00447347">
        <w:rPr>
          <w:rFonts w:ascii="Arial" w:hAnsi="Arial" w:cs="Arial"/>
          <w:sz w:val="26"/>
          <w:szCs w:val="26"/>
        </w:rPr>
        <w:t xml:space="preserve">ree </w:t>
      </w:r>
      <w:r w:rsidR="00FF6E0F">
        <w:rPr>
          <w:rFonts w:ascii="Arial" w:hAnsi="Arial" w:cs="Arial"/>
          <w:sz w:val="26"/>
          <w:szCs w:val="26"/>
        </w:rPr>
        <w:t>s</w:t>
      </w:r>
      <w:r w:rsidRPr="00447347">
        <w:rPr>
          <w:rFonts w:ascii="Arial" w:hAnsi="Arial" w:cs="Arial"/>
          <w:sz w:val="26"/>
          <w:szCs w:val="26"/>
        </w:rPr>
        <w:t>chool grows</w:t>
      </w:r>
      <w:r w:rsidR="00DF2FF2">
        <w:rPr>
          <w:rFonts w:ascii="Arial" w:hAnsi="Arial" w:cs="Arial"/>
          <w:sz w:val="26"/>
          <w:szCs w:val="26"/>
        </w:rPr>
        <w:t xml:space="preserve">, </w:t>
      </w:r>
      <w:r w:rsidRPr="00447347">
        <w:rPr>
          <w:rFonts w:ascii="Arial" w:hAnsi="Arial" w:cs="Arial"/>
          <w:sz w:val="26"/>
          <w:szCs w:val="26"/>
        </w:rPr>
        <w:t>non-staffing resources</w:t>
      </w:r>
      <w:r w:rsidR="00DF2FF2">
        <w:rPr>
          <w:rFonts w:ascii="Arial" w:hAnsi="Arial" w:cs="Arial"/>
          <w:sz w:val="26"/>
          <w:szCs w:val="26"/>
        </w:rPr>
        <w:t xml:space="preserve"> which is </w:t>
      </w:r>
      <w:r w:rsidRPr="00447347">
        <w:rPr>
          <w:rFonts w:ascii="Arial" w:hAnsi="Arial" w:cs="Arial"/>
          <w:sz w:val="26"/>
          <w:szCs w:val="26"/>
        </w:rPr>
        <w:t xml:space="preserve">paid on a per-pupil basis and a leadership grant. These titles </w:t>
      </w:r>
      <w:r w:rsidRPr="00447347">
        <w:rPr>
          <w:rFonts w:ascii="Arial" w:hAnsi="Arial" w:cs="Arial"/>
          <w:sz w:val="26"/>
          <w:szCs w:val="26"/>
        </w:rPr>
        <w:lastRenderedPageBreak/>
        <w:t xml:space="preserve">reflect the basis on which the funding is calculated, but the grant can be spent on any legitimate purpose of the school. </w:t>
      </w:r>
    </w:p>
    <w:p w:rsidR="00447347" w:rsidP="00447347" w:rsidRDefault="00447347">
      <w:pPr>
        <w:pStyle w:val="ListParagraph"/>
        <w:spacing w:after="0" w:line="240" w:lineRule="auto"/>
        <w:rPr>
          <w:rFonts w:ascii="Arial" w:hAnsi="Arial" w:cs="Arial"/>
          <w:sz w:val="26"/>
          <w:szCs w:val="26"/>
        </w:rPr>
      </w:pPr>
    </w:p>
    <w:p w:rsidRPr="00447347" w:rsidR="00447347" w:rsidP="00447347" w:rsidRDefault="00447347">
      <w:pPr>
        <w:pStyle w:val="ListParagraph"/>
        <w:spacing w:after="0" w:line="240" w:lineRule="auto"/>
        <w:rPr>
          <w:rFonts w:ascii="Arial" w:hAnsi="Arial" w:cs="Arial"/>
          <w:sz w:val="26"/>
          <w:szCs w:val="26"/>
        </w:rPr>
      </w:pPr>
      <w:r w:rsidRPr="00447347">
        <w:rPr>
          <w:rFonts w:ascii="Arial" w:hAnsi="Arial" w:cs="Arial"/>
          <w:sz w:val="26"/>
          <w:szCs w:val="26"/>
        </w:rPr>
        <w:t xml:space="preserve">The first element (resources) is paid each year that the school builds up to capacity for each new pupil expected to be on roll. It is paid at the following rates: </w:t>
      </w:r>
    </w:p>
    <w:p w:rsidR="00447347" w:rsidP="00447347" w:rsidRDefault="00447347">
      <w:pPr>
        <w:pStyle w:val="ListParagraph"/>
        <w:spacing w:after="0" w:line="240" w:lineRule="auto"/>
        <w:ind w:left="993"/>
        <w:rPr>
          <w:rFonts w:ascii="Arial" w:hAnsi="Arial" w:cs="Arial"/>
          <w:sz w:val="26"/>
          <w:szCs w:val="26"/>
        </w:rPr>
      </w:pPr>
    </w:p>
    <w:p w:rsidR="00447347" w:rsidP="00447347" w:rsidRDefault="00447347">
      <w:pPr>
        <w:pStyle w:val="ListParagraph"/>
        <w:spacing w:after="0" w:line="240" w:lineRule="auto"/>
        <w:ind w:left="993"/>
        <w:rPr>
          <w:rFonts w:ascii="Arial" w:hAnsi="Arial" w:cs="Arial"/>
          <w:sz w:val="26"/>
          <w:szCs w:val="26"/>
        </w:rPr>
      </w:pPr>
      <w:r w:rsidRPr="00447347">
        <w:rPr>
          <w:rFonts w:ascii="Arial" w:hAnsi="Arial" w:cs="Arial"/>
          <w:sz w:val="26"/>
          <w:szCs w:val="26"/>
        </w:rPr>
        <w:t>• £250 for each new mainstream pupil in the primary phase (</w:t>
      </w:r>
      <w:proofErr w:type="spellStart"/>
      <w:r w:rsidRPr="00447347">
        <w:rPr>
          <w:rFonts w:ascii="Arial" w:hAnsi="Arial" w:cs="Arial"/>
          <w:sz w:val="26"/>
          <w:szCs w:val="26"/>
        </w:rPr>
        <w:t>yrs</w:t>
      </w:r>
      <w:proofErr w:type="spellEnd"/>
      <w:r w:rsidRPr="00447347">
        <w:rPr>
          <w:rFonts w:ascii="Arial" w:hAnsi="Arial" w:cs="Arial"/>
          <w:sz w:val="26"/>
          <w:szCs w:val="26"/>
        </w:rPr>
        <w:t xml:space="preserve"> R to 6); and </w:t>
      </w:r>
    </w:p>
    <w:p w:rsidRPr="00447347" w:rsidR="00447347" w:rsidP="00447347" w:rsidRDefault="00447347">
      <w:pPr>
        <w:pStyle w:val="ListParagraph"/>
        <w:spacing w:after="0" w:line="240" w:lineRule="auto"/>
        <w:ind w:left="993"/>
        <w:rPr>
          <w:rFonts w:ascii="Arial" w:hAnsi="Arial" w:cs="Arial"/>
          <w:sz w:val="26"/>
          <w:szCs w:val="26"/>
        </w:rPr>
      </w:pPr>
      <w:r w:rsidRPr="00447347">
        <w:rPr>
          <w:rFonts w:ascii="Arial" w:hAnsi="Arial" w:cs="Arial"/>
          <w:sz w:val="26"/>
          <w:szCs w:val="26"/>
        </w:rPr>
        <w:t xml:space="preserve">• £500 for each new mainstream pupil in the secondary </w:t>
      </w:r>
      <w:r w:rsidR="00CD1F01">
        <w:rPr>
          <w:rFonts w:ascii="Arial" w:hAnsi="Arial" w:cs="Arial"/>
          <w:sz w:val="26"/>
          <w:szCs w:val="26"/>
        </w:rPr>
        <w:t>&amp;</w:t>
      </w:r>
      <w:r w:rsidRPr="00447347">
        <w:rPr>
          <w:rFonts w:ascii="Arial" w:hAnsi="Arial" w:cs="Arial"/>
          <w:sz w:val="26"/>
          <w:szCs w:val="26"/>
        </w:rPr>
        <w:t xml:space="preserve"> 16-19 phases (</w:t>
      </w:r>
      <w:proofErr w:type="spellStart"/>
      <w:r w:rsidRPr="00447347">
        <w:rPr>
          <w:rFonts w:ascii="Arial" w:hAnsi="Arial" w:cs="Arial"/>
          <w:sz w:val="26"/>
          <w:szCs w:val="26"/>
        </w:rPr>
        <w:t>yrs</w:t>
      </w:r>
      <w:proofErr w:type="spellEnd"/>
      <w:r w:rsidRPr="00447347">
        <w:rPr>
          <w:rFonts w:ascii="Arial" w:hAnsi="Arial" w:cs="Arial"/>
          <w:sz w:val="26"/>
          <w:szCs w:val="26"/>
        </w:rPr>
        <w:t xml:space="preserve"> 7 to 13). </w:t>
      </w:r>
    </w:p>
    <w:p w:rsidR="00DF2FF2" w:rsidP="00447347" w:rsidRDefault="00DF2FF2">
      <w:pPr>
        <w:pStyle w:val="ListParagraph"/>
        <w:spacing w:after="0" w:line="240" w:lineRule="auto"/>
        <w:rPr>
          <w:rFonts w:ascii="Arial" w:hAnsi="Arial" w:cs="Arial"/>
          <w:sz w:val="26"/>
          <w:szCs w:val="26"/>
        </w:rPr>
      </w:pPr>
    </w:p>
    <w:p w:rsidR="00447347" w:rsidP="00447347" w:rsidRDefault="00447347">
      <w:pPr>
        <w:pStyle w:val="ListParagraph"/>
        <w:spacing w:after="0" w:line="240" w:lineRule="auto"/>
        <w:rPr>
          <w:rFonts w:ascii="Arial" w:hAnsi="Arial" w:cs="Arial"/>
          <w:sz w:val="26"/>
          <w:szCs w:val="26"/>
        </w:rPr>
      </w:pPr>
      <w:r w:rsidRPr="00447347">
        <w:rPr>
          <w:rFonts w:ascii="Arial" w:hAnsi="Arial" w:cs="Arial"/>
          <w:sz w:val="26"/>
          <w:szCs w:val="26"/>
        </w:rPr>
        <w:t xml:space="preserve">The second element (leadership) is paid annually based on the number of year-groups that the school will ultimately have that do not yet have pupils. The amount paid to mainstream schools with pupils aged 5-15 each year depends on how many year-groups (cohorts) are empty, and </w:t>
      </w:r>
      <w:r w:rsidR="00CB09B2">
        <w:rPr>
          <w:rFonts w:ascii="Arial" w:hAnsi="Arial" w:cs="Arial"/>
          <w:sz w:val="26"/>
          <w:szCs w:val="26"/>
        </w:rPr>
        <w:t xml:space="preserve">the current rates are </w:t>
      </w:r>
      <w:r w:rsidRPr="00447347">
        <w:rPr>
          <w:rFonts w:ascii="Arial" w:hAnsi="Arial" w:cs="Arial"/>
          <w:sz w:val="26"/>
          <w:szCs w:val="26"/>
        </w:rPr>
        <w:t xml:space="preserve">set out in </w:t>
      </w:r>
      <w:r w:rsidR="00CD1F01">
        <w:rPr>
          <w:rFonts w:ascii="Arial" w:hAnsi="Arial" w:cs="Arial"/>
          <w:sz w:val="26"/>
          <w:szCs w:val="26"/>
        </w:rPr>
        <w:t>T</w:t>
      </w:r>
      <w:r w:rsidRPr="00447347">
        <w:rPr>
          <w:rFonts w:ascii="Arial" w:hAnsi="Arial" w:cs="Arial"/>
          <w:sz w:val="26"/>
          <w:szCs w:val="26"/>
        </w:rPr>
        <w:t xml:space="preserve">able </w:t>
      </w:r>
      <w:r w:rsidR="00CD1F01">
        <w:rPr>
          <w:rFonts w:ascii="Arial" w:hAnsi="Arial" w:cs="Arial"/>
          <w:sz w:val="26"/>
          <w:szCs w:val="26"/>
        </w:rPr>
        <w:t xml:space="preserve">2 </w:t>
      </w:r>
      <w:r w:rsidR="006A276E">
        <w:rPr>
          <w:rFonts w:ascii="Arial" w:hAnsi="Arial" w:cs="Arial"/>
          <w:sz w:val="26"/>
          <w:szCs w:val="26"/>
        </w:rPr>
        <w:t>below</w:t>
      </w:r>
      <w:r w:rsidRPr="00447347">
        <w:rPr>
          <w:rFonts w:ascii="Arial" w:hAnsi="Arial" w:cs="Arial"/>
          <w:sz w:val="26"/>
          <w:szCs w:val="26"/>
        </w:rPr>
        <w:t xml:space="preserve">. </w:t>
      </w:r>
    </w:p>
    <w:p w:rsidR="006A276E" w:rsidP="00447347" w:rsidRDefault="006A276E">
      <w:pPr>
        <w:pStyle w:val="ListParagraph"/>
        <w:spacing w:after="0" w:line="240" w:lineRule="auto"/>
        <w:rPr>
          <w:rFonts w:ascii="Arial" w:hAnsi="Arial" w:cs="Arial"/>
          <w:sz w:val="26"/>
          <w:szCs w:val="26"/>
          <w:u w:val="single"/>
        </w:rPr>
      </w:pPr>
    </w:p>
    <w:p w:rsidRPr="00CD1F01" w:rsidR="00CD1F01" w:rsidP="00447347" w:rsidRDefault="00CD1F01">
      <w:pPr>
        <w:pStyle w:val="ListParagraph"/>
        <w:spacing w:after="0" w:line="240" w:lineRule="auto"/>
        <w:rPr>
          <w:rFonts w:ascii="Arial" w:hAnsi="Arial" w:cs="Arial"/>
          <w:sz w:val="26"/>
          <w:szCs w:val="26"/>
          <w:u w:val="single"/>
        </w:rPr>
      </w:pPr>
      <w:r w:rsidRPr="00CD1F01">
        <w:rPr>
          <w:rFonts w:ascii="Arial" w:hAnsi="Arial" w:cs="Arial"/>
          <w:sz w:val="26"/>
          <w:szCs w:val="26"/>
          <w:u w:val="single"/>
        </w:rPr>
        <w:t>Table 2</w:t>
      </w:r>
      <w:r w:rsidR="00CB09B2">
        <w:rPr>
          <w:rFonts w:ascii="Arial" w:hAnsi="Arial" w:cs="Arial"/>
          <w:sz w:val="26"/>
          <w:szCs w:val="26"/>
          <w:u w:val="single"/>
        </w:rPr>
        <w:t xml:space="preserve"> –</w:t>
      </w:r>
      <w:r w:rsidRPr="00CD1F01">
        <w:rPr>
          <w:rFonts w:ascii="Arial" w:hAnsi="Arial" w:cs="Arial"/>
          <w:sz w:val="26"/>
          <w:szCs w:val="26"/>
          <w:u w:val="single"/>
        </w:rPr>
        <w:t xml:space="preserve"> Post</w:t>
      </w:r>
      <w:r w:rsidR="00CB09B2">
        <w:rPr>
          <w:rFonts w:ascii="Arial" w:hAnsi="Arial" w:cs="Arial"/>
          <w:sz w:val="26"/>
          <w:szCs w:val="26"/>
          <w:u w:val="single"/>
        </w:rPr>
        <w:t>-</w:t>
      </w:r>
      <w:r w:rsidRPr="00CD1F01">
        <w:rPr>
          <w:rFonts w:ascii="Arial" w:hAnsi="Arial" w:cs="Arial"/>
          <w:sz w:val="26"/>
          <w:szCs w:val="26"/>
          <w:u w:val="single"/>
        </w:rPr>
        <w:t xml:space="preserve">opening </w:t>
      </w:r>
      <w:r w:rsidR="00AB5A04">
        <w:rPr>
          <w:rFonts w:ascii="Arial" w:hAnsi="Arial" w:cs="Arial"/>
          <w:sz w:val="26"/>
          <w:szCs w:val="26"/>
          <w:u w:val="single"/>
        </w:rPr>
        <w:t xml:space="preserve">leadership </w:t>
      </w:r>
      <w:r w:rsidR="006A276E">
        <w:rPr>
          <w:rFonts w:ascii="Arial" w:hAnsi="Arial" w:cs="Arial"/>
          <w:sz w:val="26"/>
          <w:szCs w:val="26"/>
          <w:u w:val="single"/>
        </w:rPr>
        <w:t xml:space="preserve">rates for </w:t>
      </w:r>
      <w:r w:rsidRPr="00CD1F01">
        <w:rPr>
          <w:rFonts w:ascii="Arial" w:hAnsi="Arial" w:cs="Arial"/>
          <w:sz w:val="26"/>
          <w:szCs w:val="26"/>
          <w:u w:val="single"/>
        </w:rPr>
        <w:t>new free schools</w:t>
      </w:r>
    </w:p>
    <w:p w:rsidR="00CD1F01" w:rsidP="00447347" w:rsidRDefault="00CD1F01">
      <w:pPr>
        <w:pStyle w:val="ListParagraph"/>
        <w:spacing w:after="0" w:line="240" w:lineRule="auto"/>
        <w:rPr>
          <w:rFonts w:ascii="Arial" w:hAnsi="Arial" w:cs="Arial"/>
          <w:sz w:val="26"/>
          <w:szCs w:val="26"/>
        </w:rPr>
      </w:pPr>
    </w:p>
    <w:tbl>
      <w:tblPr>
        <w:tblStyle w:val="TableGrid"/>
        <w:tblW w:w="0" w:type="auto"/>
        <w:tblInd w:w="720" w:type="dxa"/>
        <w:tblLook w:val="04A0" w:firstRow="1" w:lastRow="0" w:firstColumn="1" w:lastColumn="0" w:noHBand="0" w:noVBand="1"/>
      </w:tblPr>
      <w:tblGrid>
        <w:gridCol w:w="1991"/>
        <w:gridCol w:w="1134"/>
        <w:gridCol w:w="1134"/>
        <w:gridCol w:w="1134"/>
        <w:gridCol w:w="1134"/>
        <w:gridCol w:w="1134"/>
        <w:gridCol w:w="1134"/>
        <w:gridCol w:w="1134"/>
      </w:tblGrid>
      <w:tr w:rsidR="00447347" w:rsidTr="00E71794">
        <w:tc>
          <w:tcPr>
            <w:tcW w:w="1991" w:type="dxa"/>
          </w:tcPr>
          <w:p w:rsidRPr="00E71794" w:rsidR="00447347" w:rsidP="00447347" w:rsidRDefault="00447347">
            <w:pPr>
              <w:pStyle w:val="ListParagraph"/>
              <w:spacing w:after="0" w:line="240" w:lineRule="auto"/>
              <w:ind w:left="0"/>
              <w:rPr>
                <w:rFonts w:ascii="Arial" w:hAnsi="Arial" w:cs="Arial"/>
              </w:rPr>
            </w:pPr>
            <w:r w:rsidRPr="00E71794">
              <w:rPr>
                <w:rFonts w:ascii="Arial" w:hAnsi="Arial" w:cs="Arial"/>
              </w:rPr>
              <w:t>Empty cohorts</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6</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5</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4</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3</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2</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1</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Max</w:t>
            </w:r>
          </w:p>
        </w:tc>
      </w:tr>
      <w:tr w:rsidR="00447347" w:rsidTr="00E71794">
        <w:tc>
          <w:tcPr>
            <w:tcW w:w="1991" w:type="dxa"/>
          </w:tcPr>
          <w:p w:rsidRPr="00E71794" w:rsidR="00447347" w:rsidP="00447347" w:rsidRDefault="00447347">
            <w:pPr>
              <w:pStyle w:val="ListParagraph"/>
              <w:spacing w:after="0" w:line="240" w:lineRule="auto"/>
              <w:ind w:left="0"/>
              <w:rPr>
                <w:rFonts w:ascii="Arial" w:hAnsi="Arial" w:cs="Arial"/>
              </w:rPr>
            </w:pPr>
            <w:r w:rsidRPr="00E71794">
              <w:rPr>
                <w:rFonts w:ascii="Arial" w:hAnsi="Arial" w:cs="Arial"/>
              </w:rPr>
              <w:t>Primary</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£80,500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£67,500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£54,000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£40,500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£27,000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£13,500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£283,000</w:t>
            </w:r>
          </w:p>
        </w:tc>
      </w:tr>
      <w:tr w:rsidR="00447347" w:rsidTr="00E71794">
        <w:tc>
          <w:tcPr>
            <w:tcW w:w="1991" w:type="dxa"/>
          </w:tcPr>
          <w:p w:rsidRPr="00E71794" w:rsidR="00447347" w:rsidP="00447347" w:rsidRDefault="00447347">
            <w:pPr>
              <w:pStyle w:val="ListParagraph"/>
              <w:spacing w:after="0" w:line="240" w:lineRule="auto"/>
              <w:ind w:left="0"/>
              <w:rPr>
                <w:rFonts w:ascii="Arial" w:hAnsi="Arial" w:cs="Arial"/>
              </w:rPr>
            </w:pPr>
            <w:r w:rsidRPr="00E71794">
              <w:rPr>
                <w:rFonts w:ascii="Arial" w:hAnsi="Arial" w:cs="Arial"/>
              </w:rPr>
              <w:t>Secondary</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£125,000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£93,500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£62,500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£31,000</w:t>
            </w:r>
          </w:p>
        </w:tc>
        <w:tc>
          <w:tcPr>
            <w:tcW w:w="1134" w:type="dxa"/>
          </w:tcPr>
          <w:p w:rsidRPr="00E71794" w:rsidR="00447347" w:rsidP="00447347" w:rsidRDefault="00447347">
            <w:pPr>
              <w:pStyle w:val="ListParagraph"/>
              <w:spacing w:after="0" w:line="240" w:lineRule="auto"/>
              <w:ind w:left="0"/>
              <w:jc w:val="right"/>
              <w:rPr>
                <w:rFonts w:ascii="Arial" w:hAnsi="Arial" w:cs="Arial"/>
              </w:rPr>
            </w:pPr>
            <w:r w:rsidRPr="00E71794">
              <w:rPr>
                <w:rFonts w:ascii="Arial" w:hAnsi="Arial" w:cs="Arial"/>
              </w:rPr>
              <w:t>£312,000</w:t>
            </w:r>
          </w:p>
        </w:tc>
      </w:tr>
    </w:tbl>
    <w:p w:rsidR="00CD1F01" w:rsidP="00447347" w:rsidRDefault="00CD1F01">
      <w:pPr>
        <w:pStyle w:val="ListParagraph"/>
        <w:spacing w:after="0" w:line="240" w:lineRule="auto"/>
        <w:rPr>
          <w:rFonts w:ascii="Arial" w:hAnsi="Arial" w:cs="Arial"/>
          <w:sz w:val="26"/>
          <w:szCs w:val="26"/>
        </w:rPr>
      </w:pPr>
    </w:p>
    <w:p w:rsidR="00F72426" w:rsidP="00447347" w:rsidRDefault="00F72426">
      <w:pPr>
        <w:pStyle w:val="ListParagraph"/>
        <w:spacing w:after="0" w:line="240" w:lineRule="auto"/>
        <w:rPr>
          <w:rFonts w:ascii="Arial" w:hAnsi="Arial" w:cs="Arial"/>
          <w:sz w:val="26"/>
          <w:szCs w:val="26"/>
        </w:rPr>
      </w:pPr>
      <w:r>
        <w:rPr>
          <w:rFonts w:ascii="Arial" w:hAnsi="Arial" w:cs="Arial"/>
          <w:sz w:val="26"/>
          <w:szCs w:val="26"/>
        </w:rPr>
        <w:t>Based on the above</w:t>
      </w:r>
      <w:r w:rsidR="00E71794">
        <w:rPr>
          <w:rFonts w:ascii="Arial" w:hAnsi="Arial" w:cs="Arial"/>
          <w:sz w:val="26"/>
          <w:szCs w:val="26"/>
        </w:rPr>
        <w:t>,</w:t>
      </w:r>
      <w:r>
        <w:rPr>
          <w:rFonts w:ascii="Arial" w:hAnsi="Arial" w:cs="Arial"/>
          <w:sz w:val="26"/>
          <w:szCs w:val="26"/>
        </w:rPr>
        <w:t xml:space="preserve"> the support for a typical </w:t>
      </w:r>
      <w:r w:rsidR="001F7FA6">
        <w:rPr>
          <w:rFonts w:ascii="Arial" w:hAnsi="Arial" w:cs="Arial"/>
          <w:sz w:val="26"/>
          <w:szCs w:val="26"/>
        </w:rPr>
        <w:t xml:space="preserve">new free </w:t>
      </w:r>
      <w:r>
        <w:rPr>
          <w:rFonts w:ascii="Arial" w:hAnsi="Arial" w:cs="Arial"/>
          <w:sz w:val="26"/>
          <w:szCs w:val="26"/>
        </w:rPr>
        <w:t xml:space="preserve">school </w:t>
      </w:r>
      <w:r w:rsidR="006A276E">
        <w:rPr>
          <w:rFonts w:ascii="Arial" w:hAnsi="Arial" w:cs="Arial"/>
          <w:sz w:val="26"/>
          <w:szCs w:val="26"/>
        </w:rPr>
        <w:t>is shown in Table 3.</w:t>
      </w:r>
    </w:p>
    <w:p w:rsidR="007643CB" w:rsidP="00447347" w:rsidRDefault="007643CB">
      <w:pPr>
        <w:pStyle w:val="ListParagraph"/>
        <w:spacing w:after="0" w:line="240" w:lineRule="auto"/>
        <w:rPr>
          <w:rFonts w:ascii="Arial" w:hAnsi="Arial" w:cs="Arial"/>
          <w:sz w:val="26"/>
          <w:szCs w:val="26"/>
        </w:rPr>
      </w:pPr>
    </w:p>
    <w:p w:rsidRPr="006A276E" w:rsidR="006A276E" w:rsidP="00447347" w:rsidRDefault="006A276E">
      <w:pPr>
        <w:pStyle w:val="ListParagraph"/>
        <w:spacing w:after="0" w:line="240" w:lineRule="auto"/>
        <w:rPr>
          <w:rFonts w:ascii="Arial" w:hAnsi="Arial" w:cs="Arial"/>
          <w:sz w:val="26"/>
          <w:szCs w:val="26"/>
          <w:u w:val="single"/>
        </w:rPr>
      </w:pPr>
      <w:r w:rsidRPr="006A276E">
        <w:rPr>
          <w:rFonts w:ascii="Arial" w:hAnsi="Arial" w:cs="Arial"/>
          <w:sz w:val="26"/>
          <w:szCs w:val="26"/>
          <w:u w:val="single"/>
        </w:rPr>
        <w:t>Table 3</w:t>
      </w:r>
      <w:r>
        <w:rPr>
          <w:rFonts w:ascii="Arial" w:hAnsi="Arial" w:cs="Arial"/>
          <w:sz w:val="26"/>
          <w:szCs w:val="26"/>
          <w:u w:val="single"/>
        </w:rPr>
        <w:t xml:space="preserve"> –</w:t>
      </w:r>
      <w:r w:rsidRPr="006A276E">
        <w:rPr>
          <w:rFonts w:ascii="Arial" w:hAnsi="Arial" w:cs="Arial"/>
          <w:sz w:val="26"/>
          <w:szCs w:val="26"/>
          <w:u w:val="single"/>
        </w:rPr>
        <w:t xml:space="preserve"> Potential post opening support for </w:t>
      </w:r>
      <w:r w:rsidR="00E11297">
        <w:rPr>
          <w:rFonts w:ascii="Arial" w:hAnsi="Arial" w:cs="Arial"/>
          <w:sz w:val="26"/>
          <w:szCs w:val="26"/>
          <w:u w:val="single"/>
        </w:rPr>
        <w:t>a</w:t>
      </w:r>
      <w:r w:rsidRPr="006A276E">
        <w:rPr>
          <w:rFonts w:ascii="Arial" w:hAnsi="Arial" w:cs="Arial"/>
          <w:sz w:val="26"/>
          <w:szCs w:val="26"/>
          <w:u w:val="single"/>
        </w:rPr>
        <w:t xml:space="preserve"> new free </w:t>
      </w:r>
      <w:r w:rsidR="00DF2FF2">
        <w:rPr>
          <w:rFonts w:ascii="Arial" w:hAnsi="Arial" w:cs="Arial"/>
          <w:sz w:val="26"/>
          <w:szCs w:val="26"/>
          <w:u w:val="single"/>
        </w:rPr>
        <w:t xml:space="preserve">primary </w:t>
      </w:r>
      <w:r w:rsidRPr="006A276E">
        <w:rPr>
          <w:rFonts w:ascii="Arial" w:hAnsi="Arial" w:cs="Arial"/>
          <w:sz w:val="26"/>
          <w:szCs w:val="26"/>
          <w:u w:val="single"/>
        </w:rPr>
        <w:t>school in Derbyshire</w:t>
      </w:r>
    </w:p>
    <w:p w:rsidR="006A276E" w:rsidP="00447347" w:rsidRDefault="006A276E">
      <w:pPr>
        <w:pStyle w:val="ListParagraph"/>
        <w:spacing w:after="0" w:line="240" w:lineRule="auto"/>
        <w:rPr>
          <w:rFonts w:ascii="Arial" w:hAnsi="Arial" w:cs="Arial"/>
          <w:sz w:val="26"/>
          <w:szCs w:val="26"/>
        </w:rPr>
      </w:pPr>
    </w:p>
    <w:tbl>
      <w:tblPr>
        <w:tblStyle w:val="TableGrid"/>
        <w:tblW w:w="10041" w:type="dxa"/>
        <w:tblInd w:w="846" w:type="dxa"/>
        <w:tblLook w:val="04A0" w:firstRow="1" w:lastRow="0" w:firstColumn="1" w:lastColumn="0" w:noHBand="0" w:noVBand="1"/>
      </w:tblPr>
      <w:tblGrid>
        <w:gridCol w:w="2835"/>
        <w:gridCol w:w="1012"/>
        <w:gridCol w:w="1012"/>
        <w:gridCol w:w="1012"/>
        <w:gridCol w:w="1012"/>
        <w:gridCol w:w="1012"/>
        <w:gridCol w:w="1012"/>
        <w:gridCol w:w="1134"/>
      </w:tblGrid>
      <w:tr w:rsidR="007643CB" w:rsidTr="007643CB">
        <w:trPr>
          <w:gridAfter w:val="1"/>
          <w:wAfter w:w="1134" w:type="dxa"/>
        </w:trPr>
        <w:tc>
          <w:tcPr>
            <w:tcW w:w="2835" w:type="dxa"/>
          </w:tcPr>
          <w:p w:rsidRPr="001F7FA6" w:rsidR="007643CB" w:rsidP="00471BC0" w:rsidRDefault="007643CB">
            <w:pPr>
              <w:pStyle w:val="ListParagraph"/>
              <w:spacing w:after="0" w:line="240" w:lineRule="auto"/>
              <w:ind w:left="0"/>
              <w:rPr>
                <w:rFonts w:ascii="Arial" w:hAnsi="Arial" w:cs="Arial"/>
              </w:rPr>
            </w:pPr>
          </w:p>
        </w:tc>
        <w:tc>
          <w:tcPr>
            <w:tcW w:w="1012" w:type="dxa"/>
          </w:tcPr>
          <w:p w:rsidR="007643CB" w:rsidP="00471BC0" w:rsidRDefault="001516D3">
            <w:pPr>
              <w:pStyle w:val="ListParagraph"/>
              <w:spacing w:after="0" w:line="240" w:lineRule="auto"/>
              <w:ind w:left="0"/>
              <w:jc w:val="right"/>
              <w:rPr>
                <w:rFonts w:ascii="Arial" w:hAnsi="Arial" w:cs="Arial"/>
              </w:rPr>
            </w:pPr>
            <w:r>
              <w:rPr>
                <w:rFonts w:ascii="Arial" w:hAnsi="Arial" w:cs="Arial"/>
              </w:rPr>
              <w:t>19/20</w:t>
            </w:r>
          </w:p>
          <w:p w:rsidRPr="001F7FA6" w:rsidR="007643CB" w:rsidP="00471BC0" w:rsidRDefault="007643CB">
            <w:pPr>
              <w:pStyle w:val="ListParagraph"/>
              <w:spacing w:after="0" w:line="240" w:lineRule="auto"/>
              <w:ind w:left="0"/>
              <w:jc w:val="right"/>
              <w:rPr>
                <w:rFonts w:ascii="Arial" w:hAnsi="Arial" w:cs="Arial"/>
              </w:rPr>
            </w:pPr>
            <w:r>
              <w:rPr>
                <w:rFonts w:ascii="Arial" w:hAnsi="Arial" w:cs="Arial"/>
              </w:rPr>
              <w:t xml:space="preserve">AY </w:t>
            </w:r>
            <w:r w:rsidRPr="001F7FA6">
              <w:rPr>
                <w:rFonts w:ascii="Arial" w:hAnsi="Arial" w:cs="Arial"/>
              </w:rPr>
              <w:t>1</w:t>
            </w:r>
          </w:p>
        </w:tc>
        <w:tc>
          <w:tcPr>
            <w:tcW w:w="1012" w:type="dxa"/>
          </w:tcPr>
          <w:p w:rsidR="001516D3" w:rsidP="001516D3" w:rsidRDefault="001516D3">
            <w:pPr>
              <w:pStyle w:val="ListParagraph"/>
              <w:spacing w:after="0" w:line="240" w:lineRule="auto"/>
              <w:ind w:left="0"/>
              <w:jc w:val="right"/>
              <w:rPr>
                <w:rFonts w:ascii="Arial" w:hAnsi="Arial" w:cs="Arial"/>
              </w:rPr>
            </w:pPr>
            <w:r>
              <w:rPr>
                <w:rFonts w:ascii="Arial" w:hAnsi="Arial" w:cs="Arial"/>
              </w:rPr>
              <w:t>20/21</w:t>
            </w:r>
          </w:p>
          <w:p w:rsidRPr="001F7FA6" w:rsidR="007643CB" w:rsidP="00471BC0" w:rsidRDefault="007643CB">
            <w:pPr>
              <w:pStyle w:val="ListParagraph"/>
              <w:spacing w:after="0" w:line="240" w:lineRule="auto"/>
              <w:ind w:left="0"/>
              <w:jc w:val="right"/>
              <w:rPr>
                <w:rFonts w:ascii="Arial" w:hAnsi="Arial" w:cs="Arial"/>
              </w:rPr>
            </w:pPr>
            <w:r>
              <w:rPr>
                <w:rFonts w:ascii="Arial" w:hAnsi="Arial" w:cs="Arial"/>
              </w:rPr>
              <w:t>AY 2</w:t>
            </w:r>
          </w:p>
        </w:tc>
        <w:tc>
          <w:tcPr>
            <w:tcW w:w="1012" w:type="dxa"/>
          </w:tcPr>
          <w:p w:rsidR="007643CB" w:rsidP="00471BC0" w:rsidRDefault="001516D3">
            <w:pPr>
              <w:pStyle w:val="ListParagraph"/>
              <w:spacing w:after="0" w:line="240" w:lineRule="auto"/>
              <w:ind w:left="0"/>
              <w:jc w:val="right"/>
              <w:rPr>
                <w:rFonts w:ascii="Arial" w:hAnsi="Arial" w:cs="Arial"/>
              </w:rPr>
            </w:pPr>
            <w:r>
              <w:rPr>
                <w:rFonts w:ascii="Arial" w:hAnsi="Arial" w:cs="Arial"/>
              </w:rPr>
              <w:t>21/22</w:t>
            </w:r>
          </w:p>
          <w:p w:rsidRPr="001F7FA6" w:rsidR="007643CB" w:rsidP="00471BC0" w:rsidRDefault="007643CB">
            <w:pPr>
              <w:pStyle w:val="ListParagraph"/>
              <w:spacing w:after="0" w:line="240" w:lineRule="auto"/>
              <w:ind w:left="0"/>
              <w:jc w:val="right"/>
              <w:rPr>
                <w:rFonts w:ascii="Arial" w:hAnsi="Arial" w:cs="Arial"/>
              </w:rPr>
            </w:pPr>
            <w:r>
              <w:rPr>
                <w:rFonts w:ascii="Arial" w:hAnsi="Arial" w:cs="Arial"/>
              </w:rPr>
              <w:t>AY 3</w:t>
            </w:r>
          </w:p>
        </w:tc>
        <w:tc>
          <w:tcPr>
            <w:tcW w:w="1012" w:type="dxa"/>
          </w:tcPr>
          <w:p w:rsidR="007643CB" w:rsidP="00471BC0" w:rsidRDefault="001516D3">
            <w:pPr>
              <w:pStyle w:val="ListParagraph"/>
              <w:spacing w:after="0" w:line="240" w:lineRule="auto"/>
              <w:ind w:left="0"/>
              <w:jc w:val="right"/>
              <w:rPr>
                <w:rFonts w:ascii="Arial" w:hAnsi="Arial" w:cs="Arial"/>
              </w:rPr>
            </w:pPr>
            <w:r>
              <w:rPr>
                <w:rFonts w:ascii="Arial" w:hAnsi="Arial" w:cs="Arial"/>
              </w:rPr>
              <w:t>22/23</w:t>
            </w:r>
          </w:p>
          <w:p w:rsidRPr="001F7FA6" w:rsidR="007643CB" w:rsidP="00471BC0" w:rsidRDefault="007643CB">
            <w:pPr>
              <w:pStyle w:val="ListParagraph"/>
              <w:spacing w:after="0" w:line="240" w:lineRule="auto"/>
              <w:ind w:left="0"/>
              <w:jc w:val="right"/>
              <w:rPr>
                <w:rFonts w:ascii="Arial" w:hAnsi="Arial" w:cs="Arial"/>
              </w:rPr>
            </w:pPr>
            <w:r>
              <w:rPr>
                <w:rFonts w:ascii="Arial" w:hAnsi="Arial" w:cs="Arial"/>
              </w:rPr>
              <w:t>AY 4</w:t>
            </w:r>
          </w:p>
        </w:tc>
        <w:tc>
          <w:tcPr>
            <w:tcW w:w="1012" w:type="dxa"/>
          </w:tcPr>
          <w:p w:rsidR="007643CB" w:rsidP="00471BC0" w:rsidRDefault="001516D3">
            <w:pPr>
              <w:pStyle w:val="ListParagraph"/>
              <w:spacing w:after="0" w:line="240" w:lineRule="auto"/>
              <w:ind w:left="0"/>
              <w:jc w:val="right"/>
              <w:rPr>
                <w:rFonts w:ascii="Arial" w:hAnsi="Arial" w:cs="Arial"/>
              </w:rPr>
            </w:pPr>
            <w:r>
              <w:rPr>
                <w:rFonts w:ascii="Arial" w:hAnsi="Arial" w:cs="Arial"/>
              </w:rPr>
              <w:t>23/24</w:t>
            </w:r>
          </w:p>
          <w:p w:rsidRPr="001F7FA6" w:rsidR="007643CB" w:rsidP="00471BC0" w:rsidRDefault="007643CB">
            <w:pPr>
              <w:pStyle w:val="ListParagraph"/>
              <w:spacing w:after="0" w:line="240" w:lineRule="auto"/>
              <w:ind w:left="0"/>
              <w:jc w:val="right"/>
              <w:rPr>
                <w:rFonts w:ascii="Arial" w:hAnsi="Arial" w:cs="Arial"/>
              </w:rPr>
            </w:pPr>
            <w:r>
              <w:rPr>
                <w:rFonts w:ascii="Arial" w:hAnsi="Arial" w:cs="Arial"/>
              </w:rPr>
              <w:t>AY 5</w:t>
            </w:r>
          </w:p>
        </w:tc>
        <w:tc>
          <w:tcPr>
            <w:tcW w:w="1012" w:type="dxa"/>
          </w:tcPr>
          <w:p w:rsidR="007643CB" w:rsidP="00471BC0" w:rsidRDefault="001516D3">
            <w:pPr>
              <w:pStyle w:val="ListParagraph"/>
              <w:spacing w:after="0" w:line="240" w:lineRule="auto"/>
              <w:ind w:left="0"/>
              <w:jc w:val="right"/>
              <w:rPr>
                <w:rFonts w:ascii="Arial" w:hAnsi="Arial" w:cs="Arial"/>
              </w:rPr>
            </w:pPr>
            <w:r>
              <w:rPr>
                <w:rFonts w:ascii="Arial" w:hAnsi="Arial" w:cs="Arial"/>
              </w:rPr>
              <w:t>24/25</w:t>
            </w:r>
          </w:p>
          <w:p w:rsidRPr="001F7FA6" w:rsidR="007643CB" w:rsidP="00471BC0" w:rsidRDefault="007643CB">
            <w:pPr>
              <w:pStyle w:val="ListParagraph"/>
              <w:spacing w:after="0" w:line="240" w:lineRule="auto"/>
              <w:ind w:left="0"/>
              <w:jc w:val="right"/>
              <w:rPr>
                <w:rFonts w:ascii="Arial" w:hAnsi="Arial" w:cs="Arial"/>
              </w:rPr>
            </w:pPr>
            <w:r>
              <w:rPr>
                <w:rFonts w:ascii="Arial" w:hAnsi="Arial" w:cs="Arial"/>
              </w:rPr>
              <w:t>AY 6</w:t>
            </w:r>
          </w:p>
        </w:tc>
      </w:tr>
      <w:tr w:rsidR="007643CB" w:rsidTr="007643CB">
        <w:trPr>
          <w:gridAfter w:val="1"/>
          <w:wAfter w:w="1134" w:type="dxa"/>
        </w:trPr>
        <w:tc>
          <w:tcPr>
            <w:tcW w:w="2835" w:type="dxa"/>
          </w:tcPr>
          <w:p w:rsidRPr="001F7FA6" w:rsidR="007643CB" w:rsidP="00E362F0" w:rsidRDefault="007643CB">
            <w:pPr>
              <w:pStyle w:val="ListParagraph"/>
              <w:spacing w:after="0" w:line="240" w:lineRule="auto"/>
              <w:ind w:left="0"/>
              <w:rPr>
                <w:rFonts w:ascii="Arial" w:hAnsi="Arial" w:cs="Arial"/>
              </w:rPr>
            </w:pPr>
            <w:r w:rsidRPr="001F7FA6">
              <w:rPr>
                <w:rFonts w:ascii="Arial" w:hAnsi="Arial" w:cs="Arial"/>
              </w:rPr>
              <w:t>NOR</w:t>
            </w:r>
          </w:p>
        </w:tc>
        <w:tc>
          <w:tcPr>
            <w:tcW w:w="1012" w:type="dxa"/>
          </w:tcPr>
          <w:p w:rsidRPr="001F7FA6" w:rsidR="007643CB" w:rsidP="00E362F0" w:rsidRDefault="007643CB">
            <w:pPr>
              <w:pStyle w:val="ListParagraph"/>
              <w:spacing w:after="0" w:line="240" w:lineRule="auto"/>
              <w:ind w:left="0"/>
              <w:jc w:val="right"/>
              <w:rPr>
                <w:rFonts w:ascii="Arial" w:hAnsi="Arial" w:cs="Arial"/>
              </w:rPr>
            </w:pPr>
          </w:p>
        </w:tc>
        <w:tc>
          <w:tcPr>
            <w:tcW w:w="1012" w:type="dxa"/>
          </w:tcPr>
          <w:p w:rsidRPr="001F7FA6" w:rsidR="007643CB" w:rsidP="00E362F0" w:rsidRDefault="007643CB">
            <w:pPr>
              <w:pStyle w:val="ListParagraph"/>
              <w:spacing w:after="0" w:line="240" w:lineRule="auto"/>
              <w:ind w:left="0"/>
              <w:jc w:val="right"/>
              <w:rPr>
                <w:rFonts w:ascii="Arial" w:hAnsi="Arial" w:cs="Arial"/>
              </w:rPr>
            </w:pPr>
          </w:p>
        </w:tc>
        <w:tc>
          <w:tcPr>
            <w:tcW w:w="1012" w:type="dxa"/>
          </w:tcPr>
          <w:p w:rsidRPr="001F7FA6" w:rsidR="007643CB" w:rsidP="00E362F0" w:rsidRDefault="007643CB">
            <w:pPr>
              <w:pStyle w:val="ListParagraph"/>
              <w:spacing w:after="0" w:line="240" w:lineRule="auto"/>
              <w:ind w:left="0"/>
              <w:jc w:val="right"/>
              <w:rPr>
                <w:rFonts w:ascii="Arial" w:hAnsi="Arial" w:cs="Arial"/>
              </w:rPr>
            </w:pPr>
          </w:p>
        </w:tc>
        <w:tc>
          <w:tcPr>
            <w:tcW w:w="1012" w:type="dxa"/>
          </w:tcPr>
          <w:p w:rsidRPr="001F7FA6" w:rsidR="007643CB" w:rsidP="00E362F0" w:rsidRDefault="007643CB">
            <w:pPr>
              <w:pStyle w:val="ListParagraph"/>
              <w:spacing w:after="0" w:line="240" w:lineRule="auto"/>
              <w:ind w:left="0"/>
              <w:jc w:val="right"/>
              <w:rPr>
                <w:rFonts w:ascii="Arial" w:hAnsi="Arial" w:cs="Arial"/>
              </w:rPr>
            </w:pPr>
          </w:p>
        </w:tc>
        <w:tc>
          <w:tcPr>
            <w:tcW w:w="1012" w:type="dxa"/>
          </w:tcPr>
          <w:p w:rsidRPr="001F7FA6" w:rsidR="007643CB" w:rsidP="00E362F0" w:rsidRDefault="007643CB">
            <w:pPr>
              <w:pStyle w:val="ListParagraph"/>
              <w:spacing w:after="0" w:line="240" w:lineRule="auto"/>
              <w:ind w:left="0"/>
              <w:jc w:val="right"/>
              <w:rPr>
                <w:rFonts w:ascii="Arial" w:hAnsi="Arial" w:cs="Arial"/>
              </w:rPr>
            </w:pPr>
          </w:p>
        </w:tc>
        <w:tc>
          <w:tcPr>
            <w:tcW w:w="1012" w:type="dxa"/>
          </w:tcPr>
          <w:p w:rsidRPr="001F7FA6" w:rsidR="007643CB" w:rsidP="00E362F0" w:rsidRDefault="007643CB">
            <w:pPr>
              <w:pStyle w:val="ListParagraph"/>
              <w:spacing w:after="0" w:line="240" w:lineRule="auto"/>
              <w:ind w:left="0"/>
              <w:jc w:val="right"/>
              <w:rPr>
                <w:rFonts w:ascii="Arial" w:hAnsi="Arial" w:cs="Arial"/>
              </w:rPr>
            </w:pPr>
          </w:p>
        </w:tc>
      </w:tr>
      <w:tr w:rsidR="007643CB" w:rsidTr="007643CB">
        <w:trPr>
          <w:gridAfter w:val="1"/>
          <w:wAfter w:w="1134" w:type="dxa"/>
        </w:trPr>
        <w:tc>
          <w:tcPr>
            <w:tcW w:w="2835" w:type="dxa"/>
          </w:tcPr>
          <w:p w:rsidRPr="001F7FA6" w:rsidR="007643CB" w:rsidP="00E362F0" w:rsidRDefault="007643CB">
            <w:pPr>
              <w:pStyle w:val="ListParagraph"/>
              <w:spacing w:after="0" w:line="240" w:lineRule="auto"/>
              <w:ind w:left="0"/>
              <w:rPr>
                <w:rFonts w:ascii="Arial" w:hAnsi="Arial" w:cs="Arial"/>
              </w:rPr>
            </w:pPr>
            <w:r w:rsidRPr="001F7FA6">
              <w:rPr>
                <w:rFonts w:ascii="Arial" w:hAnsi="Arial" w:cs="Arial"/>
              </w:rPr>
              <w:t>Reception</w:t>
            </w:r>
          </w:p>
        </w:tc>
        <w:tc>
          <w:tcPr>
            <w:tcW w:w="1012" w:type="dxa"/>
          </w:tcPr>
          <w:p w:rsidRPr="001F7FA6" w:rsidR="007643CB" w:rsidP="00E362F0"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E362F0"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E362F0"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E362F0"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E362F0"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E362F0" w:rsidRDefault="007643CB">
            <w:pPr>
              <w:pStyle w:val="ListParagraph"/>
              <w:spacing w:after="0" w:line="240" w:lineRule="auto"/>
              <w:ind w:left="0"/>
              <w:jc w:val="right"/>
              <w:rPr>
                <w:rFonts w:ascii="Arial" w:hAnsi="Arial" w:cs="Arial"/>
              </w:rPr>
            </w:pPr>
            <w:r w:rsidRPr="001F7FA6">
              <w:rPr>
                <w:rFonts w:ascii="Arial" w:hAnsi="Arial" w:cs="Arial"/>
              </w:rPr>
              <w:t>30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Yr 1</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Yr 2</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Yr 3</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Yr 4</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Yr 5</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Yr 6</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sidRPr="001F7FA6">
              <w:rPr>
                <w:rFonts w:ascii="Arial" w:hAnsi="Arial" w:cs="Arial"/>
              </w:rPr>
              <w:t>Total</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30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sidRPr="001F7FA6">
              <w:rPr>
                <w:rFonts w:ascii="Arial" w:hAnsi="Arial" w:cs="Arial"/>
              </w:rPr>
              <w:t>60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90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120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150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180</w:t>
            </w:r>
          </w:p>
        </w:tc>
      </w:tr>
      <w:tr w:rsidR="007643CB" w:rsidTr="007643CB">
        <w:tc>
          <w:tcPr>
            <w:tcW w:w="2835" w:type="dxa"/>
          </w:tcPr>
          <w:p w:rsidRPr="001F7FA6" w:rsidR="007643CB" w:rsidP="001F7FA6" w:rsidRDefault="007643CB">
            <w:pPr>
              <w:pStyle w:val="ListParagraph"/>
              <w:spacing w:after="0" w:line="240" w:lineRule="auto"/>
              <w:ind w:left="0"/>
              <w:rPr>
                <w:rFonts w:ascii="Arial" w:hAnsi="Arial" w:cs="Arial"/>
              </w:rPr>
            </w:pPr>
            <w:r w:rsidRPr="001F7FA6">
              <w:rPr>
                <w:rFonts w:ascii="Arial" w:hAnsi="Arial" w:cs="Arial"/>
              </w:rPr>
              <w:t>Resources (@£250 pp)</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£7,500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£15,000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£22,500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£30,000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£37,500</w:t>
            </w:r>
          </w:p>
        </w:tc>
        <w:tc>
          <w:tcPr>
            <w:tcW w:w="1012" w:type="dxa"/>
          </w:tcPr>
          <w:p w:rsidR="007643CB" w:rsidP="00F72426" w:rsidRDefault="007643CB">
            <w:pPr>
              <w:pStyle w:val="ListParagraph"/>
              <w:spacing w:after="0" w:line="240" w:lineRule="auto"/>
              <w:ind w:left="0"/>
              <w:jc w:val="right"/>
              <w:rPr>
                <w:rFonts w:ascii="Arial" w:hAnsi="Arial" w:cs="Arial"/>
              </w:rPr>
            </w:pPr>
            <w:r>
              <w:rPr>
                <w:rFonts w:ascii="Arial" w:hAnsi="Arial" w:cs="Arial"/>
              </w:rPr>
              <w:t>£45,000</w:t>
            </w:r>
          </w:p>
        </w:tc>
        <w:tc>
          <w:tcPr>
            <w:tcW w:w="1134" w:type="dxa"/>
          </w:tcPr>
          <w:p w:rsidRPr="001F7FA6" w:rsidR="007643CB" w:rsidP="001F7FA6" w:rsidRDefault="007643CB">
            <w:pPr>
              <w:pStyle w:val="ListParagraph"/>
              <w:spacing w:after="0" w:line="240" w:lineRule="auto"/>
              <w:ind w:left="0"/>
              <w:jc w:val="right"/>
              <w:rPr>
                <w:rFonts w:ascii="Arial" w:hAnsi="Arial" w:cs="Arial"/>
              </w:rPr>
            </w:pPr>
            <w:r>
              <w:rPr>
                <w:rFonts w:ascii="Arial" w:hAnsi="Arial" w:cs="Arial"/>
              </w:rPr>
              <w:t>£157,500</w:t>
            </w: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p>
        </w:tc>
        <w:tc>
          <w:tcPr>
            <w:tcW w:w="1012" w:type="dxa"/>
          </w:tcPr>
          <w:p w:rsidRPr="001F7FA6" w:rsidR="007643CB" w:rsidP="00F72426" w:rsidRDefault="007643CB">
            <w:pPr>
              <w:pStyle w:val="ListParagraph"/>
              <w:spacing w:after="0" w:line="240" w:lineRule="auto"/>
              <w:ind w:left="0"/>
              <w:jc w:val="right"/>
              <w:rPr>
                <w:rFonts w:ascii="Arial" w:hAnsi="Arial" w:cs="Arial"/>
              </w:rPr>
            </w:pPr>
          </w:p>
        </w:tc>
        <w:tc>
          <w:tcPr>
            <w:tcW w:w="1012" w:type="dxa"/>
          </w:tcPr>
          <w:p w:rsidRPr="001F7FA6" w:rsidR="007643CB" w:rsidP="00F72426" w:rsidRDefault="007643CB">
            <w:pPr>
              <w:pStyle w:val="ListParagraph"/>
              <w:spacing w:after="0" w:line="240" w:lineRule="auto"/>
              <w:ind w:left="0"/>
              <w:jc w:val="right"/>
              <w:rPr>
                <w:rFonts w:ascii="Arial" w:hAnsi="Arial" w:cs="Arial"/>
              </w:rPr>
            </w:pPr>
          </w:p>
        </w:tc>
        <w:tc>
          <w:tcPr>
            <w:tcW w:w="1012" w:type="dxa"/>
          </w:tcPr>
          <w:p w:rsidRPr="001F7FA6" w:rsidR="007643CB" w:rsidP="00F72426" w:rsidRDefault="007643CB">
            <w:pPr>
              <w:pStyle w:val="ListParagraph"/>
              <w:spacing w:after="0" w:line="240" w:lineRule="auto"/>
              <w:ind w:left="0"/>
              <w:jc w:val="right"/>
              <w:rPr>
                <w:rFonts w:ascii="Arial" w:hAnsi="Arial" w:cs="Arial"/>
              </w:rPr>
            </w:pPr>
          </w:p>
        </w:tc>
        <w:tc>
          <w:tcPr>
            <w:tcW w:w="1012" w:type="dxa"/>
          </w:tcPr>
          <w:p w:rsidRPr="001F7FA6" w:rsidR="007643CB" w:rsidP="00F72426" w:rsidRDefault="007643CB">
            <w:pPr>
              <w:pStyle w:val="ListParagraph"/>
              <w:spacing w:after="0" w:line="240" w:lineRule="auto"/>
              <w:ind w:left="0"/>
              <w:jc w:val="right"/>
              <w:rPr>
                <w:rFonts w:ascii="Arial" w:hAnsi="Arial" w:cs="Arial"/>
              </w:rPr>
            </w:pPr>
          </w:p>
        </w:tc>
        <w:tc>
          <w:tcPr>
            <w:tcW w:w="1012" w:type="dxa"/>
          </w:tcPr>
          <w:p w:rsidRPr="001F7FA6" w:rsidR="007643CB" w:rsidP="00F72426" w:rsidRDefault="007643CB">
            <w:pPr>
              <w:pStyle w:val="ListParagraph"/>
              <w:spacing w:after="0" w:line="240" w:lineRule="auto"/>
              <w:ind w:left="0"/>
              <w:jc w:val="right"/>
              <w:rPr>
                <w:rFonts w:ascii="Arial" w:hAnsi="Arial" w:cs="Arial"/>
              </w:rPr>
            </w:pPr>
          </w:p>
        </w:tc>
        <w:tc>
          <w:tcPr>
            <w:tcW w:w="1012" w:type="dxa"/>
          </w:tcPr>
          <w:p w:rsidRPr="001F7FA6" w:rsidR="007643CB" w:rsidP="00F72426" w:rsidRDefault="007643CB">
            <w:pPr>
              <w:pStyle w:val="ListParagraph"/>
              <w:spacing w:after="0" w:line="240" w:lineRule="auto"/>
              <w:ind w:left="0"/>
              <w:jc w:val="right"/>
              <w:rPr>
                <w:rFonts w:ascii="Arial" w:hAnsi="Arial" w:cs="Arial"/>
              </w:rPr>
            </w:pPr>
          </w:p>
        </w:tc>
      </w:tr>
      <w:tr w:rsidR="007643CB" w:rsidTr="007643CB">
        <w:trPr>
          <w:gridAfter w:val="1"/>
          <w:wAfter w:w="1134" w:type="dxa"/>
        </w:trPr>
        <w:tc>
          <w:tcPr>
            <w:tcW w:w="2835" w:type="dxa"/>
          </w:tcPr>
          <w:p w:rsidRPr="001F7FA6" w:rsidR="007643CB" w:rsidP="00F72426" w:rsidRDefault="007643CB">
            <w:pPr>
              <w:pStyle w:val="ListParagraph"/>
              <w:spacing w:after="0" w:line="240" w:lineRule="auto"/>
              <w:ind w:left="0"/>
              <w:rPr>
                <w:rFonts w:ascii="Arial" w:hAnsi="Arial" w:cs="Arial"/>
              </w:rPr>
            </w:pPr>
            <w:r>
              <w:rPr>
                <w:rFonts w:ascii="Arial" w:hAnsi="Arial" w:cs="Arial"/>
              </w:rPr>
              <w:t>Empty cohorts</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6</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5</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4</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3</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2</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1</w:t>
            </w:r>
          </w:p>
        </w:tc>
      </w:tr>
      <w:tr w:rsidR="007643CB" w:rsidTr="007643CB">
        <w:tc>
          <w:tcPr>
            <w:tcW w:w="2835" w:type="dxa"/>
          </w:tcPr>
          <w:p w:rsidRPr="001F7FA6" w:rsidR="007643CB" w:rsidP="00471BC0" w:rsidRDefault="007643CB">
            <w:pPr>
              <w:pStyle w:val="ListParagraph"/>
              <w:spacing w:after="0" w:line="240" w:lineRule="auto"/>
              <w:ind w:left="0"/>
              <w:rPr>
                <w:rFonts w:ascii="Arial" w:hAnsi="Arial" w:cs="Arial"/>
              </w:rPr>
            </w:pPr>
            <w:r>
              <w:rPr>
                <w:rFonts w:ascii="Arial" w:hAnsi="Arial" w:cs="Arial"/>
              </w:rPr>
              <w:t>Leadership</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£80,500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£67,500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£54,000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£40,500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£27,000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Pr>
                <w:rFonts w:ascii="Arial" w:hAnsi="Arial" w:cs="Arial"/>
              </w:rPr>
              <w:t>£13,500</w:t>
            </w:r>
          </w:p>
        </w:tc>
        <w:tc>
          <w:tcPr>
            <w:tcW w:w="1134" w:type="dxa"/>
          </w:tcPr>
          <w:p w:rsidRPr="001F7FA6" w:rsidR="007643CB" w:rsidP="001F7FA6" w:rsidRDefault="007643CB">
            <w:pPr>
              <w:pStyle w:val="ListParagraph"/>
              <w:spacing w:after="0" w:line="240" w:lineRule="auto"/>
              <w:ind w:left="0"/>
              <w:jc w:val="right"/>
              <w:rPr>
                <w:rFonts w:ascii="Arial" w:hAnsi="Arial" w:cs="Arial"/>
              </w:rPr>
            </w:pPr>
            <w:r w:rsidRPr="001F7FA6">
              <w:rPr>
                <w:rFonts w:ascii="Arial" w:hAnsi="Arial" w:cs="Arial"/>
              </w:rPr>
              <w:t>£</w:t>
            </w:r>
            <w:r>
              <w:rPr>
                <w:rFonts w:ascii="Arial" w:hAnsi="Arial" w:cs="Arial"/>
              </w:rPr>
              <w:t>28</w:t>
            </w:r>
            <w:r w:rsidRPr="001F7FA6">
              <w:rPr>
                <w:rFonts w:ascii="Arial" w:hAnsi="Arial" w:cs="Arial"/>
              </w:rPr>
              <w:t>3,</w:t>
            </w:r>
            <w:r>
              <w:rPr>
                <w:rFonts w:ascii="Arial" w:hAnsi="Arial" w:cs="Arial"/>
              </w:rPr>
              <w:t>0</w:t>
            </w:r>
            <w:r w:rsidRPr="001F7FA6">
              <w:rPr>
                <w:rFonts w:ascii="Arial" w:hAnsi="Arial" w:cs="Arial"/>
              </w:rPr>
              <w:t>00</w:t>
            </w:r>
          </w:p>
        </w:tc>
      </w:tr>
      <w:tr w:rsidR="007643CB" w:rsidTr="007643CB">
        <w:tc>
          <w:tcPr>
            <w:tcW w:w="2835" w:type="dxa"/>
          </w:tcPr>
          <w:p w:rsidRPr="001F7FA6" w:rsidR="007643CB" w:rsidP="00F72426" w:rsidRDefault="007643CB">
            <w:pPr>
              <w:pStyle w:val="ListParagraph"/>
              <w:spacing w:after="0" w:line="240" w:lineRule="auto"/>
              <w:ind w:left="0"/>
              <w:rPr>
                <w:rFonts w:ascii="Arial" w:hAnsi="Arial" w:cs="Arial"/>
              </w:rPr>
            </w:pPr>
            <w:r>
              <w:rPr>
                <w:rFonts w:ascii="Arial" w:hAnsi="Arial" w:cs="Arial"/>
              </w:rPr>
              <w:t>Total post opening support</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£88,000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£82,000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Pr>
                <w:rFonts w:ascii="Arial" w:hAnsi="Arial" w:cs="Arial"/>
              </w:rPr>
              <w:t>£76,500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£70,500</w:t>
            </w:r>
          </w:p>
        </w:tc>
        <w:tc>
          <w:tcPr>
            <w:tcW w:w="1012" w:type="dxa"/>
          </w:tcPr>
          <w:p w:rsidRPr="001F7FA6" w:rsidR="007643CB" w:rsidP="001F7FA6" w:rsidRDefault="007643CB">
            <w:pPr>
              <w:pStyle w:val="ListParagraph"/>
              <w:spacing w:after="0" w:line="240" w:lineRule="auto"/>
              <w:ind w:left="0"/>
              <w:jc w:val="right"/>
              <w:rPr>
                <w:rFonts w:ascii="Arial" w:hAnsi="Arial" w:cs="Arial"/>
              </w:rPr>
            </w:pPr>
            <w:r>
              <w:rPr>
                <w:rFonts w:ascii="Arial" w:hAnsi="Arial" w:cs="Arial"/>
              </w:rPr>
              <w:t>£64,500</w:t>
            </w:r>
          </w:p>
        </w:tc>
        <w:tc>
          <w:tcPr>
            <w:tcW w:w="1012"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£58,500</w:t>
            </w:r>
          </w:p>
        </w:tc>
        <w:tc>
          <w:tcPr>
            <w:tcW w:w="1134" w:type="dxa"/>
          </w:tcPr>
          <w:p w:rsidRPr="001F7FA6" w:rsidR="007643CB" w:rsidP="00F72426" w:rsidRDefault="007643CB">
            <w:pPr>
              <w:pStyle w:val="ListParagraph"/>
              <w:spacing w:after="0" w:line="240" w:lineRule="auto"/>
              <w:ind w:left="0"/>
              <w:jc w:val="right"/>
              <w:rPr>
                <w:rFonts w:ascii="Arial" w:hAnsi="Arial" w:cs="Arial"/>
              </w:rPr>
            </w:pPr>
            <w:r>
              <w:rPr>
                <w:rFonts w:ascii="Arial" w:hAnsi="Arial" w:cs="Arial"/>
              </w:rPr>
              <w:t>£440,000</w:t>
            </w:r>
          </w:p>
        </w:tc>
      </w:tr>
    </w:tbl>
    <w:p w:rsidR="00F72426" w:rsidP="00447347" w:rsidRDefault="00F72426">
      <w:pPr>
        <w:pStyle w:val="ListParagraph"/>
        <w:spacing w:after="0" w:line="240" w:lineRule="auto"/>
        <w:rPr>
          <w:rFonts w:ascii="Arial" w:hAnsi="Arial" w:cs="Arial"/>
          <w:sz w:val="26"/>
          <w:szCs w:val="26"/>
        </w:rPr>
      </w:pPr>
    </w:p>
    <w:p w:rsidR="00A16962" w:rsidP="006A276E" w:rsidRDefault="006A276E">
      <w:pPr>
        <w:pStyle w:val="ListParagraph"/>
        <w:spacing w:after="0" w:line="240" w:lineRule="auto"/>
        <w:rPr>
          <w:rFonts w:ascii="Arial" w:hAnsi="Arial" w:cs="Arial"/>
          <w:sz w:val="26"/>
          <w:szCs w:val="26"/>
        </w:rPr>
      </w:pPr>
      <w:r>
        <w:rPr>
          <w:rFonts w:ascii="Arial" w:hAnsi="Arial" w:cs="Arial"/>
          <w:sz w:val="26"/>
          <w:szCs w:val="26"/>
        </w:rPr>
        <w:t xml:space="preserve">No post opening support is required for 2018-19 and an update on the likely costs in 2019-20 and beyond will be provided during in the autumn of 2018.  </w:t>
      </w:r>
      <w:r w:rsidR="00CD1F01">
        <w:rPr>
          <w:rFonts w:ascii="Arial" w:hAnsi="Arial" w:cs="Arial"/>
          <w:sz w:val="26"/>
          <w:szCs w:val="26"/>
        </w:rPr>
        <w:t xml:space="preserve">In 2019-20 the cost to the </w:t>
      </w:r>
      <w:r w:rsidR="00E11297">
        <w:rPr>
          <w:rFonts w:ascii="Arial" w:hAnsi="Arial" w:cs="Arial"/>
          <w:sz w:val="26"/>
          <w:szCs w:val="26"/>
        </w:rPr>
        <w:t xml:space="preserve">Schools Block </w:t>
      </w:r>
      <w:r w:rsidR="00CD1F01">
        <w:rPr>
          <w:rFonts w:ascii="Arial" w:hAnsi="Arial" w:cs="Arial"/>
          <w:sz w:val="26"/>
          <w:szCs w:val="26"/>
        </w:rPr>
        <w:t xml:space="preserve">for 5 schools could be </w:t>
      </w:r>
      <w:r w:rsidR="00E11297">
        <w:rPr>
          <w:rFonts w:ascii="Arial" w:hAnsi="Arial" w:cs="Arial"/>
          <w:sz w:val="26"/>
          <w:szCs w:val="26"/>
        </w:rPr>
        <w:t>~</w:t>
      </w:r>
      <w:r w:rsidRPr="00CD1F01" w:rsidR="005F1CC2">
        <w:rPr>
          <w:rFonts w:ascii="Arial" w:hAnsi="Arial" w:cs="Arial"/>
          <w:sz w:val="26"/>
          <w:szCs w:val="26"/>
        </w:rPr>
        <w:t>£</w:t>
      </w:r>
      <w:r w:rsidRPr="00CD1F01" w:rsidR="00CD1F01">
        <w:rPr>
          <w:rFonts w:ascii="Arial" w:hAnsi="Arial" w:cs="Arial"/>
          <w:sz w:val="26"/>
          <w:szCs w:val="26"/>
        </w:rPr>
        <w:t>0.260m</w:t>
      </w:r>
      <w:r w:rsidRPr="00CD1F01" w:rsidR="003E36C4">
        <w:rPr>
          <w:rFonts w:ascii="Arial" w:hAnsi="Arial" w:cs="Arial"/>
          <w:sz w:val="26"/>
          <w:szCs w:val="26"/>
        </w:rPr>
        <w:t xml:space="preserve"> </w:t>
      </w:r>
      <w:r w:rsidRPr="00CD1F01" w:rsidR="00CD1F01">
        <w:rPr>
          <w:rFonts w:ascii="Arial" w:hAnsi="Arial" w:cs="Arial"/>
          <w:sz w:val="26"/>
          <w:szCs w:val="26"/>
        </w:rPr>
        <w:t xml:space="preserve">(5 x £88,000 x7/12); the cost based on 6 schools </w:t>
      </w:r>
      <w:r w:rsidR="00E11297">
        <w:rPr>
          <w:rFonts w:ascii="Arial" w:hAnsi="Arial" w:cs="Arial"/>
          <w:sz w:val="26"/>
          <w:szCs w:val="26"/>
        </w:rPr>
        <w:t xml:space="preserve">of the above size in </w:t>
      </w:r>
      <w:r w:rsidRPr="00CD1F01" w:rsidR="00CD1F01">
        <w:rPr>
          <w:rFonts w:ascii="Arial" w:hAnsi="Arial" w:cs="Arial"/>
          <w:sz w:val="26"/>
          <w:szCs w:val="26"/>
        </w:rPr>
        <w:t xml:space="preserve">a full </w:t>
      </w:r>
      <w:r w:rsidR="00CD1F01">
        <w:rPr>
          <w:rFonts w:ascii="Arial" w:hAnsi="Arial" w:cs="Arial"/>
          <w:sz w:val="26"/>
          <w:szCs w:val="26"/>
        </w:rPr>
        <w:t xml:space="preserve">financial </w:t>
      </w:r>
      <w:r w:rsidRPr="00CD1F01" w:rsidR="00CD1F01">
        <w:rPr>
          <w:rFonts w:ascii="Arial" w:hAnsi="Arial" w:cs="Arial"/>
          <w:sz w:val="26"/>
          <w:szCs w:val="26"/>
        </w:rPr>
        <w:t xml:space="preserve">year would be </w:t>
      </w:r>
      <w:r w:rsidR="00E11297">
        <w:rPr>
          <w:rFonts w:ascii="Arial" w:hAnsi="Arial" w:cs="Arial"/>
          <w:sz w:val="26"/>
          <w:szCs w:val="26"/>
        </w:rPr>
        <w:t>~</w:t>
      </w:r>
      <w:r w:rsidRPr="00CD1F01" w:rsidR="00CD1F01">
        <w:rPr>
          <w:rFonts w:ascii="Arial" w:hAnsi="Arial" w:cs="Arial"/>
          <w:sz w:val="26"/>
          <w:szCs w:val="26"/>
        </w:rPr>
        <w:t>£0.528m</w:t>
      </w:r>
      <w:r w:rsidR="00CD1F01">
        <w:rPr>
          <w:rFonts w:ascii="Arial" w:hAnsi="Arial" w:cs="Arial"/>
          <w:sz w:val="26"/>
          <w:szCs w:val="26"/>
        </w:rPr>
        <w:t>.</w:t>
      </w:r>
    </w:p>
    <w:p w:rsidR="00A16962" w:rsidP="005F1CC2" w:rsidRDefault="005F1CC2">
      <w:pPr>
        <w:pStyle w:val="ListParagraph"/>
        <w:tabs>
          <w:tab w:val="left" w:pos="1226"/>
        </w:tabs>
        <w:spacing w:after="0" w:line="240" w:lineRule="auto"/>
        <w:rPr>
          <w:rFonts w:ascii="Arial" w:hAnsi="Arial" w:cs="Arial"/>
          <w:sz w:val="26"/>
          <w:szCs w:val="26"/>
        </w:rPr>
      </w:pPr>
      <w:r>
        <w:rPr>
          <w:rFonts w:ascii="Arial" w:hAnsi="Arial" w:cs="Arial"/>
          <w:sz w:val="26"/>
          <w:szCs w:val="26"/>
        </w:rPr>
        <w:tab/>
      </w:r>
    </w:p>
    <w:p w:rsidR="005F1CC2" w:rsidP="005F1CC2" w:rsidRDefault="005F1CC2">
      <w:pPr>
        <w:pStyle w:val="ListParagraph"/>
        <w:spacing w:after="0" w:line="240" w:lineRule="auto"/>
        <w:rPr>
          <w:rFonts w:ascii="Arial" w:hAnsi="Arial" w:cs="Arial"/>
          <w:sz w:val="26"/>
          <w:szCs w:val="26"/>
        </w:rPr>
      </w:pPr>
      <w:r w:rsidRPr="00F05C52">
        <w:rPr>
          <w:rFonts w:ascii="Arial" w:hAnsi="Arial" w:cs="Arial"/>
          <w:b/>
          <w:sz w:val="26"/>
          <w:szCs w:val="26"/>
        </w:rPr>
        <w:t xml:space="preserve">Recommendation </w:t>
      </w:r>
      <w:r w:rsidR="00DF2FF2">
        <w:rPr>
          <w:rFonts w:ascii="Arial" w:hAnsi="Arial" w:cs="Arial"/>
          <w:b/>
          <w:sz w:val="26"/>
          <w:szCs w:val="26"/>
        </w:rPr>
        <w:t>6</w:t>
      </w:r>
      <w:r>
        <w:rPr>
          <w:rFonts w:ascii="Arial" w:hAnsi="Arial" w:cs="Arial"/>
          <w:b/>
          <w:sz w:val="26"/>
          <w:szCs w:val="26"/>
        </w:rPr>
        <w:t xml:space="preserve"> </w:t>
      </w:r>
      <w:r>
        <w:rPr>
          <w:rFonts w:ascii="Arial" w:hAnsi="Arial" w:cs="Arial"/>
          <w:sz w:val="26"/>
          <w:szCs w:val="26"/>
        </w:rPr>
        <w:t>- That the Schools Forum note the potential pressure on the Schools Block for 20</w:t>
      </w:r>
      <w:r w:rsidR="00CB09B2">
        <w:rPr>
          <w:rFonts w:ascii="Arial" w:hAnsi="Arial" w:cs="Arial"/>
          <w:sz w:val="26"/>
          <w:szCs w:val="26"/>
        </w:rPr>
        <w:t xml:space="preserve">19-20 </w:t>
      </w:r>
      <w:r>
        <w:rPr>
          <w:rFonts w:ascii="Arial" w:hAnsi="Arial" w:cs="Arial"/>
          <w:sz w:val="26"/>
          <w:szCs w:val="26"/>
        </w:rPr>
        <w:t xml:space="preserve">and beyond and agree to receive </w:t>
      </w:r>
      <w:r w:rsidR="008A6EBF">
        <w:rPr>
          <w:rFonts w:ascii="Arial" w:hAnsi="Arial" w:cs="Arial"/>
          <w:sz w:val="26"/>
          <w:szCs w:val="26"/>
        </w:rPr>
        <w:t xml:space="preserve">a </w:t>
      </w:r>
      <w:r>
        <w:rPr>
          <w:rFonts w:ascii="Arial" w:hAnsi="Arial" w:cs="Arial"/>
          <w:sz w:val="26"/>
          <w:szCs w:val="26"/>
        </w:rPr>
        <w:t>further report on this issue</w:t>
      </w:r>
      <w:r w:rsidR="008A6EBF">
        <w:rPr>
          <w:rFonts w:ascii="Arial" w:hAnsi="Arial" w:cs="Arial"/>
          <w:sz w:val="26"/>
          <w:szCs w:val="26"/>
        </w:rPr>
        <w:t xml:space="preserve"> in autumn 2018</w:t>
      </w:r>
      <w:r>
        <w:rPr>
          <w:rFonts w:ascii="Arial" w:hAnsi="Arial" w:cs="Arial"/>
          <w:sz w:val="26"/>
          <w:szCs w:val="26"/>
        </w:rPr>
        <w:t>.</w:t>
      </w:r>
    </w:p>
    <w:p w:rsidR="007643CB" w:rsidP="005F1CC2" w:rsidRDefault="007643CB">
      <w:pPr>
        <w:pStyle w:val="ListParagraph"/>
        <w:spacing w:after="0" w:line="240" w:lineRule="auto"/>
        <w:rPr>
          <w:rFonts w:ascii="Arial" w:hAnsi="Arial" w:cs="Arial"/>
          <w:sz w:val="26"/>
          <w:szCs w:val="26"/>
        </w:rPr>
      </w:pPr>
    </w:p>
    <w:p w:rsidR="00DF2FF2" w:rsidP="005F1CC2" w:rsidRDefault="00DF2FF2">
      <w:pPr>
        <w:pStyle w:val="ListParagraph"/>
        <w:spacing w:after="0" w:line="240" w:lineRule="auto"/>
        <w:rPr>
          <w:rFonts w:ascii="Arial" w:hAnsi="Arial" w:cs="Arial"/>
          <w:sz w:val="26"/>
          <w:szCs w:val="26"/>
        </w:rPr>
      </w:pPr>
    </w:p>
    <w:p w:rsidR="00DF2FF2" w:rsidP="005F1CC2" w:rsidRDefault="00DF2FF2">
      <w:pPr>
        <w:pStyle w:val="ListParagraph"/>
        <w:spacing w:after="0" w:line="240" w:lineRule="auto"/>
        <w:rPr>
          <w:rFonts w:ascii="Arial" w:hAnsi="Arial" w:cs="Arial"/>
          <w:sz w:val="26"/>
          <w:szCs w:val="26"/>
        </w:rPr>
      </w:pPr>
    </w:p>
    <w:p w:rsidR="00DF2FF2" w:rsidP="005F1CC2" w:rsidRDefault="00DF2FF2">
      <w:pPr>
        <w:pStyle w:val="ListParagraph"/>
        <w:spacing w:after="0" w:line="240" w:lineRule="auto"/>
        <w:rPr>
          <w:rFonts w:ascii="Arial" w:hAnsi="Arial" w:cs="Arial"/>
          <w:sz w:val="26"/>
          <w:szCs w:val="26"/>
        </w:rPr>
      </w:pPr>
    </w:p>
    <w:p w:rsidRPr="00EE258D" w:rsidR="00767AF3" w:rsidP="00767AF3" w:rsidRDefault="00767AF3">
      <w:pPr>
        <w:spacing w:after="0" w:line="240" w:lineRule="auto"/>
        <w:ind w:left="709" w:hanging="283"/>
        <w:rPr>
          <w:rFonts w:ascii="Arial" w:hAnsi="Arial" w:cs="Arial"/>
          <w:sz w:val="26"/>
          <w:szCs w:val="26"/>
        </w:rPr>
      </w:pPr>
      <w:r>
        <w:rPr>
          <w:rFonts w:ascii="Arial" w:hAnsi="Arial" w:cs="Arial"/>
          <w:sz w:val="26"/>
          <w:szCs w:val="26"/>
        </w:rPr>
        <w:lastRenderedPageBreak/>
        <w:t>2.3</w:t>
      </w:r>
      <w:r>
        <w:rPr>
          <w:rFonts w:ascii="Arial" w:hAnsi="Arial" w:cs="Arial"/>
          <w:sz w:val="26"/>
          <w:szCs w:val="26"/>
        </w:rPr>
        <w:tab/>
      </w:r>
      <w:r>
        <w:rPr>
          <w:rFonts w:ascii="Arial" w:hAnsi="Arial" w:cs="Arial"/>
          <w:sz w:val="26"/>
          <w:szCs w:val="26"/>
          <w:u w:val="single"/>
        </w:rPr>
        <w:t xml:space="preserve">Support for good </w:t>
      </w:r>
      <w:r w:rsidR="008F3E84">
        <w:rPr>
          <w:rFonts w:ascii="Arial" w:hAnsi="Arial" w:cs="Arial"/>
          <w:sz w:val="26"/>
          <w:szCs w:val="26"/>
          <w:u w:val="single"/>
        </w:rPr>
        <w:t xml:space="preserve">or </w:t>
      </w:r>
      <w:r>
        <w:rPr>
          <w:rFonts w:ascii="Arial" w:hAnsi="Arial" w:cs="Arial"/>
          <w:sz w:val="26"/>
          <w:szCs w:val="26"/>
          <w:u w:val="single"/>
        </w:rPr>
        <w:t>outstanding schools</w:t>
      </w:r>
      <w:r w:rsidR="008032D6">
        <w:rPr>
          <w:rFonts w:ascii="Arial" w:hAnsi="Arial" w:cs="Arial"/>
          <w:sz w:val="26"/>
          <w:szCs w:val="26"/>
          <w:u w:val="single"/>
        </w:rPr>
        <w:t xml:space="preserve"> with temporary falling rolls</w:t>
      </w:r>
    </w:p>
    <w:p w:rsidR="00767AF3" w:rsidP="005F1CC2" w:rsidRDefault="00767AF3">
      <w:pPr>
        <w:pStyle w:val="ListParagraph"/>
        <w:spacing w:after="0" w:line="240" w:lineRule="auto"/>
        <w:rPr>
          <w:rFonts w:ascii="Arial" w:hAnsi="Arial" w:cs="Arial"/>
          <w:sz w:val="26"/>
          <w:szCs w:val="26"/>
        </w:rPr>
      </w:pPr>
    </w:p>
    <w:p w:rsidRPr="00767AF3" w:rsidR="00767AF3" w:rsidP="00767AF3" w:rsidRDefault="00767AF3">
      <w:pPr>
        <w:pStyle w:val="ListParagraph"/>
        <w:spacing w:after="0" w:line="240" w:lineRule="auto"/>
        <w:rPr>
          <w:rFonts w:ascii="Arial" w:hAnsi="Arial" w:cs="Arial"/>
          <w:sz w:val="26"/>
          <w:szCs w:val="26"/>
        </w:rPr>
      </w:pPr>
      <w:r w:rsidRPr="00767AF3">
        <w:rPr>
          <w:rFonts w:ascii="Arial" w:hAnsi="Arial" w:cs="Arial"/>
          <w:sz w:val="26"/>
          <w:szCs w:val="26"/>
        </w:rPr>
        <w:t xml:space="preserve">LAs are already allowed to retain funding to create a budget for good </w:t>
      </w:r>
      <w:r w:rsidR="008F3E84">
        <w:rPr>
          <w:rFonts w:ascii="Arial" w:hAnsi="Arial" w:cs="Arial"/>
          <w:sz w:val="26"/>
          <w:szCs w:val="26"/>
        </w:rPr>
        <w:t xml:space="preserve">or </w:t>
      </w:r>
      <w:r w:rsidRPr="00767AF3">
        <w:rPr>
          <w:rFonts w:ascii="Arial" w:hAnsi="Arial" w:cs="Arial"/>
          <w:sz w:val="26"/>
          <w:szCs w:val="26"/>
        </w:rPr>
        <w:t>outstanding schools with temporary falling rolls. However, to date</w:t>
      </w:r>
      <w:r w:rsidR="00DF2FF2">
        <w:rPr>
          <w:rFonts w:ascii="Arial" w:hAnsi="Arial" w:cs="Arial"/>
          <w:sz w:val="26"/>
          <w:szCs w:val="26"/>
        </w:rPr>
        <w:t>,</w:t>
      </w:r>
      <w:r w:rsidRPr="00767AF3">
        <w:rPr>
          <w:rFonts w:ascii="Arial" w:hAnsi="Arial" w:cs="Arial"/>
          <w:sz w:val="26"/>
          <w:szCs w:val="26"/>
        </w:rPr>
        <w:t xml:space="preserve"> Derbyshire has not utilised this provision as it has previously considered that: (a) schools with falling rolls should instead request a licenced deficit to help manage their reductions in spend; and (b) the requirement for a school to be categorised as good or outstanding before it could receive support was felt to be </w:t>
      </w:r>
      <w:r w:rsidR="00DF2FF2">
        <w:rPr>
          <w:rFonts w:ascii="Arial" w:hAnsi="Arial" w:cs="Arial"/>
          <w:sz w:val="26"/>
          <w:szCs w:val="26"/>
        </w:rPr>
        <w:t xml:space="preserve">overly </w:t>
      </w:r>
      <w:r w:rsidRPr="00767AF3">
        <w:rPr>
          <w:rFonts w:ascii="Arial" w:hAnsi="Arial" w:cs="Arial"/>
          <w:sz w:val="26"/>
          <w:szCs w:val="26"/>
        </w:rPr>
        <w:t xml:space="preserve">restrictive. </w:t>
      </w:r>
    </w:p>
    <w:p w:rsidRPr="00767AF3" w:rsidR="00767AF3" w:rsidP="00767AF3" w:rsidRDefault="00767AF3">
      <w:pPr>
        <w:pStyle w:val="ListParagraph"/>
        <w:spacing w:after="0" w:line="240" w:lineRule="auto"/>
        <w:rPr>
          <w:rFonts w:ascii="Arial" w:hAnsi="Arial" w:cs="Arial"/>
          <w:sz w:val="26"/>
          <w:szCs w:val="26"/>
        </w:rPr>
      </w:pPr>
    </w:p>
    <w:p w:rsidR="00767AF3" w:rsidP="00767AF3" w:rsidRDefault="00767AF3">
      <w:pPr>
        <w:pStyle w:val="ListParagraph"/>
        <w:spacing w:after="0" w:line="240" w:lineRule="auto"/>
        <w:rPr>
          <w:rFonts w:ascii="Arial" w:hAnsi="Arial" w:cs="Arial"/>
          <w:sz w:val="26"/>
          <w:szCs w:val="26"/>
        </w:rPr>
      </w:pPr>
      <w:r>
        <w:rPr>
          <w:rFonts w:ascii="Arial" w:hAnsi="Arial" w:cs="Arial"/>
          <w:sz w:val="26"/>
          <w:szCs w:val="26"/>
        </w:rPr>
        <w:t xml:space="preserve">As with other </w:t>
      </w:r>
      <w:r w:rsidR="008032D6">
        <w:rPr>
          <w:rFonts w:ascii="Arial" w:hAnsi="Arial" w:cs="Arial"/>
          <w:sz w:val="26"/>
          <w:szCs w:val="26"/>
        </w:rPr>
        <w:t xml:space="preserve">central </w:t>
      </w:r>
      <w:r>
        <w:rPr>
          <w:rFonts w:ascii="Arial" w:hAnsi="Arial" w:cs="Arial"/>
          <w:sz w:val="26"/>
          <w:szCs w:val="26"/>
        </w:rPr>
        <w:t xml:space="preserve">funds, the creation of </w:t>
      </w:r>
      <w:r w:rsidR="008032D6">
        <w:rPr>
          <w:rFonts w:ascii="Arial" w:hAnsi="Arial" w:cs="Arial"/>
          <w:sz w:val="26"/>
          <w:szCs w:val="26"/>
        </w:rPr>
        <w:t xml:space="preserve">this </w:t>
      </w:r>
      <w:r>
        <w:rPr>
          <w:rFonts w:ascii="Arial" w:hAnsi="Arial" w:cs="Arial"/>
          <w:sz w:val="26"/>
          <w:szCs w:val="26"/>
        </w:rPr>
        <w:t xml:space="preserve">fund could only be achieved by a reduction in formula multipliers. </w:t>
      </w:r>
      <w:r w:rsidR="00942B81">
        <w:rPr>
          <w:rFonts w:ascii="Arial" w:hAnsi="Arial" w:cs="Arial"/>
          <w:sz w:val="26"/>
          <w:szCs w:val="26"/>
        </w:rPr>
        <w:t xml:space="preserve">Of the 56 </w:t>
      </w:r>
      <w:r>
        <w:rPr>
          <w:rFonts w:ascii="Arial" w:hAnsi="Arial" w:cs="Arial"/>
          <w:sz w:val="26"/>
          <w:szCs w:val="26"/>
        </w:rPr>
        <w:t xml:space="preserve">consultation responses from schools </w:t>
      </w:r>
      <w:r w:rsidR="00942B81">
        <w:rPr>
          <w:rFonts w:ascii="Arial" w:hAnsi="Arial" w:cs="Arial"/>
          <w:sz w:val="26"/>
          <w:szCs w:val="26"/>
        </w:rPr>
        <w:t>on this issue 43 (78.8%) were against the proposal.</w:t>
      </w:r>
      <w:r w:rsidR="00621168">
        <w:rPr>
          <w:rFonts w:ascii="Arial" w:hAnsi="Arial" w:cs="Arial"/>
          <w:sz w:val="26"/>
          <w:szCs w:val="26"/>
        </w:rPr>
        <w:t xml:space="preserve"> The main concerns were:</w:t>
      </w:r>
    </w:p>
    <w:p w:rsidR="00621168" w:rsidP="00767AF3" w:rsidRDefault="00621168">
      <w:pPr>
        <w:pStyle w:val="ListParagraph"/>
        <w:spacing w:after="0" w:line="240" w:lineRule="auto"/>
        <w:rPr>
          <w:rFonts w:ascii="Arial" w:hAnsi="Arial" w:cs="Arial"/>
          <w:sz w:val="26"/>
          <w:szCs w:val="26"/>
        </w:rPr>
      </w:pPr>
    </w:p>
    <w:p w:rsidR="00621168" w:rsidP="00621168" w:rsidRDefault="00E117FC">
      <w:pPr>
        <w:pStyle w:val="ListParagraph"/>
        <w:numPr>
          <w:ilvl w:val="0"/>
          <w:numId w:val="19"/>
        </w:numPr>
        <w:spacing w:after="0" w:line="240" w:lineRule="auto"/>
        <w:rPr>
          <w:rFonts w:ascii="Arial" w:hAnsi="Arial" w:cs="Arial"/>
          <w:sz w:val="26"/>
          <w:szCs w:val="26"/>
        </w:rPr>
      </w:pPr>
      <w:r>
        <w:rPr>
          <w:rFonts w:ascii="Arial" w:hAnsi="Arial" w:cs="Arial"/>
          <w:sz w:val="26"/>
          <w:szCs w:val="26"/>
        </w:rPr>
        <w:t>That s</w:t>
      </w:r>
      <w:r w:rsidR="00621168">
        <w:rPr>
          <w:rFonts w:ascii="Arial" w:hAnsi="Arial" w:cs="Arial"/>
          <w:sz w:val="26"/>
          <w:szCs w:val="26"/>
        </w:rPr>
        <w:t>chools requiring improvement also need to be supported;</w:t>
      </w:r>
    </w:p>
    <w:p w:rsidR="00621168" w:rsidP="00621168" w:rsidRDefault="00E117FC">
      <w:pPr>
        <w:pStyle w:val="ListParagraph"/>
        <w:numPr>
          <w:ilvl w:val="0"/>
          <w:numId w:val="19"/>
        </w:numPr>
        <w:spacing w:after="0" w:line="240" w:lineRule="auto"/>
        <w:rPr>
          <w:rFonts w:ascii="Arial" w:hAnsi="Arial" w:cs="Arial"/>
          <w:sz w:val="26"/>
          <w:szCs w:val="26"/>
        </w:rPr>
      </w:pPr>
      <w:r>
        <w:rPr>
          <w:rFonts w:ascii="Arial" w:hAnsi="Arial" w:cs="Arial"/>
          <w:sz w:val="26"/>
          <w:szCs w:val="26"/>
        </w:rPr>
        <w:t>In many cases a</w:t>
      </w:r>
      <w:r w:rsidR="00621168">
        <w:rPr>
          <w:rFonts w:ascii="Arial" w:hAnsi="Arial" w:cs="Arial"/>
          <w:sz w:val="26"/>
          <w:szCs w:val="26"/>
        </w:rPr>
        <w:t xml:space="preserve"> licenced deficit would be more appropriate;</w:t>
      </w:r>
    </w:p>
    <w:p w:rsidR="00621168" w:rsidP="00621168" w:rsidRDefault="00E117FC">
      <w:pPr>
        <w:pStyle w:val="ListParagraph"/>
        <w:numPr>
          <w:ilvl w:val="0"/>
          <w:numId w:val="19"/>
        </w:numPr>
        <w:spacing w:after="0" w:line="240" w:lineRule="auto"/>
        <w:rPr>
          <w:rFonts w:ascii="Arial" w:hAnsi="Arial" w:cs="Arial"/>
          <w:sz w:val="26"/>
          <w:szCs w:val="26"/>
        </w:rPr>
      </w:pPr>
      <w:r>
        <w:rPr>
          <w:rFonts w:ascii="Arial" w:hAnsi="Arial" w:cs="Arial"/>
          <w:sz w:val="26"/>
          <w:szCs w:val="26"/>
        </w:rPr>
        <w:t>A</w:t>
      </w:r>
      <w:r w:rsidR="00621168">
        <w:rPr>
          <w:rFonts w:ascii="Arial" w:hAnsi="Arial" w:cs="Arial"/>
          <w:sz w:val="26"/>
          <w:szCs w:val="26"/>
        </w:rPr>
        <w:t>bout the financial implications on other schools;</w:t>
      </w:r>
    </w:p>
    <w:p w:rsidR="00621168" w:rsidP="00621168" w:rsidRDefault="00E117FC">
      <w:pPr>
        <w:pStyle w:val="ListParagraph"/>
        <w:numPr>
          <w:ilvl w:val="0"/>
          <w:numId w:val="19"/>
        </w:numPr>
        <w:spacing w:after="0" w:line="240" w:lineRule="auto"/>
        <w:rPr>
          <w:rFonts w:ascii="Arial" w:hAnsi="Arial" w:cs="Arial"/>
          <w:sz w:val="26"/>
          <w:szCs w:val="26"/>
        </w:rPr>
      </w:pPr>
      <w:r>
        <w:rPr>
          <w:rFonts w:ascii="Arial" w:hAnsi="Arial" w:cs="Arial"/>
          <w:sz w:val="26"/>
          <w:szCs w:val="26"/>
        </w:rPr>
        <w:t>That o</w:t>
      </w:r>
      <w:r w:rsidR="00621168">
        <w:rPr>
          <w:rFonts w:ascii="Arial" w:hAnsi="Arial" w:cs="Arial"/>
          <w:sz w:val="26"/>
          <w:szCs w:val="26"/>
        </w:rPr>
        <w:t>ther schools have had to make significant reductions in spending; and</w:t>
      </w:r>
    </w:p>
    <w:p w:rsidR="00621168" w:rsidP="00621168" w:rsidRDefault="00E117FC">
      <w:pPr>
        <w:pStyle w:val="ListParagraph"/>
        <w:numPr>
          <w:ilvl w:val="0"/>
          <w:numId w:val="19"/>
        </w:numPr>
        <w:spacing w:after="0" w:line="240" w:lineRule="auto"/>
        <w:rPr>
          <w:rFonts w:ascii="Arial" w:hAnsi="Arial" w:cs="Arial"/>
          <w:sz w:val="26"/>
          <w:szCs w:val="26"/>
        </w:rPr>
      </w:pPr>
      <w:r>
        <w:rPr>
          <w:rFonts w:ascii="Arial" w:hAnsi="Arial" w:cs="Arial"/>
          <w:sz w:val="26"/>
          <w:szCs w:val="26"/>
        </w:rPr>
        <w:t>That t</w:t>
      </w:r>
      <w:r w:rsidR="00621168">
        <w:rPr>
          <w:rFonts w:ascii="Arial" w:hAnsi="Arial" w:cs="Arial"/>
          <w:sz w:val="26"/>
          <w:szCs w:val="26"/>
        </w:rPr>
        <w:t>he OFSTED rating could be several years old</w:t>
      </w:r>
      <w:r w:rsidR="008F3E84">
        <w:rPr>
          <w:rFonts w:ascii="Arial" w:hAnsi="Arial" w:cs="Arial"/>
          <w:sz w:val="26"/>
          <w:szCs w:val="26"/>
        </w:rPr>
        <w:t>.</w:t>
      </w:r>
    </w:p>
    <w:p w:rsidR="00621168" w:rsidP="00767AF3" w:rsidRDefault="00621168">
      <w:pPr>
        <w:pStyle w:val="ListParagraph"/>
        <w:spacing w:after="0" w:line="240" w:lineRule="auto"/>
        <w:rPr>
          <w:rFonts w:ascii="Arial" w:hAnsi="Arial" w:cs="Arial"/>
          <w:sz w:val="26"/>
          <w:szCs w:val="26"/>
        </w:rPr>
      </w:pPr>
    </w:p>
    <w:p w:rsidR="00767AF3" w:rsidP="005F1CC2" w:rsidRDefault="00942B81">
      <w:pPr>
        <w:pStyle w:val="ListParagraph"/>
        <w:spacing w:after="0" w:line="240" w:lineRule="auto"/>
        <w:rPr>
          <w:rFonts w:ascii="Arial" w:hAnsi="Arial" w:cs="Arial"/>
          <w:sz w:val="26"/>
          <w:szCs w:val="26"/>
        </w:rPr>
      </w:pPr>
      <w:r>
        <w:rPr>
          <w:rFonts w:ascii="Arial" w:hAnsi="Arial" w:cs="Arial"/>
          <w:sz w:val="26"/>
          <w:szCs w:val="26"/>
        </w:rPr>
        <w:t>Given the other pressures on the Schools Block</w:t>
      </w:r>
      <w:r w:rsidR="00621168">
        <w:rPr>
          <w:rFonts w:ascii="Arial" w:hAnsi="Arial" w:cs="Arial"/>
          <w:sz w:val="26"/>
          <w:szCs w:val="26"/>
        </w:rPr>
        <w:t xml:space="preserve">, </w:t>
      </w:r>
      <w:r>
        <w:rPr>
          <w:rFonts w:ascii="Arial" w:hAnsi="Arial" w:cs="Arial"/>
          <w:sz w:val="26"/>
          <w:szCs w:val="26"/>
        </w:rPr>
        <w:t xml:space="preserve">the desire to maximise the </w:t>
      </w:r>
      <w:r w:rsidR="00621168">
        <w:rPr>
          <w:rFonts w:ascii="Arial" w:hAnsi="Arial" w:cs="Arial"/>
          <w:sz w:val="26"/>
          <w:szCs w:val="26"/>
        </w:rPr>
        <w:t>amount</w:t>
      </w:r>
      <w:r>
        <w:rPr>
          <w:rFonts w:ascii="Arial" w:hAnsi="Arial" w:cs="Arial"/>
          <w:sz w:val="26"/>
          <w:szCs w:val="26"/>
        </w:rPr>
        <w:t xml:space="preserve"> delegated to schools, </w:t>
      </w:r>
      <w:r w:rsidR="00DF2FF2">
        <w:rPr>
          <w:rFonts w:ascii="Arial" w:hAnsi="Arial" w:cs="Arial"/>
          <w:sz w:val="26"/>
          <w:szCs w:val="26"/>
        </w:rPr>
        <w:t xml:space="preserve">and the lack of support from schools, </w:t>
      </w:r>
      <w:r>
        <w:rPr>
          <w:rFonts w:ascii="Arial" w:hAnsi="Arial" w:cs="Arial"/>
          <w:sz w:val="26"/>
          <w:szCs w:val="26"/>
        </w:rPr>
        <w:t xml:space="preserve">the Authority does not </w:t>
      </w:r>
      <w:r w:rsidR="00DF2FF2">
        <w:rPr>
          <w:rFonts w:ascii="Arial" w:hAnsi="Arial" w:cs="Arial"/>
          <w:sz w:val="26"/>
          <w:szCs w:val="26"/>
        </w:rPr>
        <w:t xml:space="preserve">intend asking the </w:t>
      </w:r>
      <w:r>
        <w:rPr>
          <w:rFonts w:ascii="Arial" w:hAnsi="Arial" w:cs="Arial"/>
          <w:sz w:val="26"/>
          <w:szCs w:val="26"/>
        </w:rPr>
        <w:t xml:space="preserve">Schools Forum to create a fund for good </w:t>
      </w:r>
      <w:r w:rsidR="008F3E84">
        <w:rPr>
          <w:rFonts w:ascii="Arial" w:hAnsi="Arial" w:cs="Arial"/>
          <w:sz w:val="26"/>
          <w:szCs w:val="26"/>
        </w:rPr>
        <w:t>or</w:t>
      </w:r>
      <w:r>
        <w:rPr>
          <w:rFonts w:ascii="Arial" w:hAnsi="Arial" w:cs="Arial"/>
          <w:sz w:val="26"/>
          <w:szCs w:val="26"/>
        </w:rPr>
        <w:t xml:space="preserve"> outstanding schools </w:t>
      </w:r>
      <w:r w:rsidR="000A15FD">
        <w:rPr>
          <w:rFonts w:ascii="Arial" w:hAnsi="Arial" w:cs="Arial"/>
          <w:sz w:val="26"/>
          <w:szCs w:val="26"/>
        </w:rPr>
        <w:t xml:space="preserve">with falling rolls </w:t>
      </w:r>
      <w:r>
        <w:rPr>
          <w:rFonts w:ascii="Arial" w:hAnsi="Arial" w:cs="Arial"/>
          <w:sz w:val="26"/>
          <w:szCs w:val="26"/>
        </w:rPr>
        <w:t>at this time.</w:t>
      </w:r>
    </w:p>
    <w:p w:rsidR="00767AF3" w:rsidP="005F1CC2" w:rsidRDefault="00767AF3">
      <w:pPr>
        <w:pStyle w:val="ListParagraph"/>
        <w:spacing w:after="0" w:line="240" w:lineRule="auto"/>
        <w:rPr>
          <w:rFonts w:ascii="Arial" w:hAnsi="Arial" w:cs="Arial"/>
          <w:sz w:val="26"/>
          <w:szCs w:val="26"/>
        </w:rPr>
      </w:pPr>
    </w:p>
    <w:p w:rsidR="00942B81" w:rsidP="00942B81" w:rsidRDefault="00942B81">
      <w:pPr>
        <w:pStyle w:val="ListParagraph"/>
        <w:spacing w:after="0" w:line="240" w:lineRule="auto"/>
        <w:rPr>
          <w:rFonts w:ascii="Arial" w:hAnsi="Arial" w:cs="Arial"/>
          <w:sz w:val="26"/>
          <w:szCs w:val="26"/>
        </w:rPr>
      </w:pPr>
      <w:r w:rsidRPr="00F05C52">
        <w:rPr>
          <w:rFonts w:ascii="Arial" w:hAnsi="Arial" w:cs="Arial"/>
          <w:b/>
          <w:sz w:val="26"/>
          <w:szCs w:val="26"/>
        </w:rPr>
        <w:t xml:space="preserve">Recommendation </w:t>
      </w:r>
      <w:r w:rsidR="00DF2FF2">
        <w:rPr>
          <w:rFonts w:ascii="Arial" w:hAnsi="Arial" w:cs="Arial"/>
          <w:b/>
          <w:sz w:val="26"/>
          <w:szCs w:val="26"/>
        </w:rPr>
        <w:t>7</w:t>
      </w:r>
      <w:r>
        <w:rPr>
          <w:rFonts w:ascii="Arial" w:hAnsi="Arial" w:cs="Arial"/>
          <w:b/>
          <w:sz w:val="26"/>
          <w:szCs w:val="26"/>
        </w:rPr>
        <w:t xml:space="preserve"> </w:t>
      </w:r>
      <w:r>
        <w:rPr>
          <w:rFonts w:ascii="Arial" w:hAnsi="Arial" w:cs="Arial"/>
          <w:sz w:val="26"/>
          <w:szCs w:val="26"/>
        </w:rPr>
        <w:t xml:space="preserve">- That the Schools Forum note the responses from schools and agree not to create a </w:t>
      </w:r>
      <w:r w:rsidR="000A15FD">
        <w:rPr>
          <w:rFonts w:ascii="Arial" w:hAnsi="Arial" w:cs="Arial"/>
          <w:sz w:val="26"/>
          <w:szCs w:val="26"/>
        </w:rPr>
        <w:t xml:space="preserve">falling rolls </w:t>
      </w:r>
      <w:r>
        <w:rPr>
          <w:rFonts w:ascii="Arial" w:hAnsi="Arial" w:cs="Arial"/>
          <w:sz w:val="26"/>
          <w:szCs w:val="26"/>
        </w:rPr>
        <w:t xml:space="preserve">fund for good </w:t>
      </w:r>
      <w:r w:rsidR="008F3E84">
        <w:rPr>
          <w:rFonts w:ascii="Arial" w:hAnsi="Arial" w:cs="Arial"/>
          <w:sz w:val="26"/>
          <w:szCs w:val="26"/>
        </w:rPr>
        <w:t xml:space="preserve">or </w:t>
      </w:r>
      <w:r>
        <w:rPr>
          <w:rFonts w:ascii="Arial" w:hAnsi="Arial" w:cs="Arial"/>
          <w:sz w:val="26"/>
          <w:szCs w:val="26"/>
        </w:rPr>
        <w:t>outstanding schools in 2018-19</w:t>
      </w:r>
      <w:r w:rsidR="000360E1">
        <w:rPr>
          <w:rFonts w:ascii="Arial" w:hAnsi="Arial" w:cs="Arial"/>
          <w:sz w:val="26"/>
          <w:szCs w:val="26"/>
        </w:rPr>
        <w:t>.</w:t>
      </w:r>
    </w:p>
    <w:p w:rsidR="007F6BD2" w:rsidP="005F1CC2" w:rsidRDefault="007F6BD2">
      <w:pPr>
        <w:pStyle w:val="ListParagraph"/>
        <w:spacing w:after="0" w:line="240" w:lineRule="auto"/>
        <w:rPr>
          <w:rFonts w:ascii="Arial" w:hAnsi="Arial" w:cs="Arial"/>
          <w:sz w:val="26"/>
          <w:szCs w:val="26"/>
        </w:rPr>
      </w:pPr>
    </w:p>
    <w:p w:rsidRPr="007F6BD2" w:rsidR="007F6BD2" w:rsidP="007C57E2" w:rsidRDefault="007F6BD2">
      <w:pPr>
        <w:pStyle w:val="ListParagraph"/>
        <w:numPr>
          <w:ilvl w:val="0"/>
          <w:numId w:val="1"/>
        </w:numPr>
        <w:spacing w:after="0" w:line="240" w:lineRule="auto"/>
        <w:rPr>
          <w:rFonts w:ascii="Arial" w:hAnsi="Arial" w:cs="Arial"/>
          <w:sz w:val="26"/>
          <w:szCs w:val="26"/>
        </w:rPr>
      </w:pPr>
      <w:r>
        <w:rPr>
          <w:rFonts w:ascii="Arial" w:hAnsi="Arial" w:cs="Arial"/>
          <w:sz w:val="26"/>
          <w:szCs w:val="26"/>
          <w:u w:val="single"/>
        </w:rPr>
        <w:t>Other Considerations</w:t>
      </w:r>
    </w:p>
    <w:p w:rsidR="007F6BD2" w:rsidP="007F6BD2" w:rsidRDefault="007F6BD2">
      <w:pPr>
        <w:pStyle w:val="ListParagraph"/>
        <w:spacing w:after="0" w:line="240" w:lineRule="auto"/>
        <w:rPr>
          <w:rFonts w:ascii="Arial" w:hAnsi="Arial" w:cs="Arial"/>
          <w:sz w:val="26"/>
          <w:szCs w:val="26"/>
          <w:u w:val="single"/>
        </w:rPr>
      </w:pPr>
    </w:p>
    <w:p w:rsidRPr="002A3BE4" w:rsidR="007F6BD2" w:rsidP="007F6BD2" w:rsidRDefault="007F6BD2">
      <w:pPr>
        <w:pStyle w:val="ListParagraph"/>
        <w:spacing w:after="0" w:line="240" w:lineRule="auto"/>
        <w:rPr>
          <w:rFonts w:ascii="Arial" w:hAnsi="Arial" w:cs="Arial"/>
          <w:sz w:val="26"/>
          <w:szCs w:val="26"/>
        </w:rPr>
      </w:pPr>
      <w:r w:rsidRPr="002A3BE4">
        <w:rPr>
          <w:rFonts w:ascii="Arial" w:hAnsi="Arial" w:cs="Arial"/>
          <w:sz w:val="26"/>
          <w:szCs w:val="26"/>
        </w:rPr>
        <w:t xml:space="preserve">In preparing this report the relevance of the following factors have been considered: social value; prevention of crime &amp; disorder, equality of opportunity, finance, human resources, legal &amp; human rights, environmental, health, </w:t>
      </w:r>
      <w:proofErr w:type="gramStart"/>
      <w:r w:rsidRPr="002A3BE4">
        <w:rPr>
          <w:rFonts w:ascii="Arial" w:hAnsi="Arial" w:cs="Arial"/>
          <w:sz w:val="26"/>
          <w:szCs w:val="26"/>
        </w:rPr>
        <w:t>property</w:t>
      </w:r>
      <w:proofErr w:type="gramEnd"/>
      <w:r w:rsidRPr="002A3BE4">
        <w:rPr>
          <w:rFonts w:ascii="Arial" w:hAnsi="Arial" w:cs="Arial"/>
          <w:sz w:val="26"/>
          <w:szCs w:val="26"/>
        </w:rPr>
        <w:t xml:space="preserve"> and transport considerations.</w:t>
      </w:r>
    </w:p>
    <w:p w:rsidRPr="007F6BD2" w:rsidR="007F6BD2" w:rsidP="007F6BD2" w:rsidRDefault="007F6BD2">
      <w:pPr>
        <w:pStyle w:val="ListParagraph"/>
        <w:spacing w:after="0" w:line="240" w:lineRule="auto"/>
        <w:rPr>
          <w:rFonts w:ascii="Arial" w:hAnsi="Arial" w:cs="Arial"/>
          <w:sz w:val="26"/>
          <w:szCs w:val="26"/>
        </w:rPr>
      </w:pPr>
    </w:p>
    <w:p w:rsidRPr="00173565" w:rsidR="007C57E2" w:rsidP="007C57E2" w:rsidRDefault="007F6BD2">
      <w:pPr>
        <w:pStyle w:val="ListParagraph"/>
        <w:numPr>
          <w:ilvl w:val="0"/>
          <w:numId w:val="1"/>
        </w:numPr>
        <w:spacing w:after="0" w:line="240" w:lineRule="auto"/>
        <w:rPr>
          <w:rFonts w:ascii="Arial" w:hAnsi="Arial" w:cs="Arial"/>
          <w:sz w:val="26"/>
          <w:szCs w:val="26"/>
        </w:rPr>
      </w:pPr>
      <w:r>
        <w:rPr>
          <w:rFonts w:ascii="Arial" w:hAnsi="Arial" w:cs="Arial"/>
          <w:sz w:val="26"/>
          <w:szCs w:val="26"/>
          <w:u w:val="single"/>
        </w:rPr>
        <w:t>B</w:t>
      </w:r>
      <w:r w:rsidRPr="00173565" w:rsidR="007C57E2">
        <w:rPr>
          <w:rFonts w:ascii="Arial" w:hAnsi="Arial" w:cs="Arial"/>
          <w:sz w:val="26"/>
          <w:szCs w:val="26"/>
          <w:u w:val="single"/>
        </w:rPr>
        <w:t>ackground Papers</w:t>
      </w:r>
    </w:p>
    <w:p w:rsidRPr="00173565" w:rsidR="007C57E2" w:rsidP="007C57E2" w:rsidRDefault="007C57E2">
      <w:pPr>
        <w:pStyle w:val="ListParagraph"/>
        <w:spacing w:after="0" w:line="240" w:lineRule="auto"/>
        <w:rPr>
          <w:rFonts w:ascii="Arial" w:hAnsi="Arial" w:cs="Arial"/>
          <w:sz w:val="18"/>
          <w:szCs w:val="26"/>
        </w:rPr>
      </w:pPr>
    </w:p>
    <w:p w:rsidRPr="00173565" w:rsidR="007C57E2" w:rsidP="007C57E2" w:rsidRDefault="007C57E2">
      <w:pPr>
        <w:pStyle w:val="ListParagraph"/>
        <w:spacing w:after="0" w:line="240" w:lineRule="auto"/>
        <w:rPr>
          <w:rFonts w:ascii="Arial" w:hAnsi="Arial" w:cs="Arial"/>
          <w:sz w:val="26"/>
          <w:szCs w:val="26"/>
        </w:rPr>
      </w:pPr>
      <w:r w:rsidRPr="00173565">
        <w:rPr>
          <w:rFonts w:ascii="Arial" w:hAnsi="Arial" w:cs="Arial"/>
          <w:sz w:val="26"/>
          <w:szCs w:val="26"/>
        </w:rPr>
        <w:t>Held in Children’s Services Finance</w:t>
      </w:r>
      <w:r w:rsidR="00BD588E">
        <w:rPr>
          <w:rFonts w:ascii="Arial" w:hAnsi="Arial" w:cs="Arial"/>
          <w:sz w:val="26"/>
          <w:szCs w:val="26"/>
        </w:rPr>
        <w:t>.</w:t>
      </w:r>
    </w:p>
    <w:p w:rsidRPr="00173565" w:rsidR="00BD588E" w:rsidP="007C57E2" w:rsidRDefault="00BD588E">
      <w:pPr>
        <w:pStyle w:val="ListParagraph"/>
        <w:spacing w:after="0" w:line="240" w:lineRule="auto"/>
        <w:rPr>
          <w:rFonts w:ascii="Arial" w:hAnsi="Arial" w:cs="Arial"/>
          <w:sz w:val="18"/>
          <w:szCs w:val="26"/>
        </w:rPr>
      </w:pPr>
    </w:p>
    <w:p w:rsidRPr="00173565" w:rsidR="007C57E2" w:rsidP="007C57E2" w:rsidRDefault="007C57E2">
      <w:pPr>
        <w:pStyle w:val="ListParagraph"/>
        <w:numPr>
          <w:ilvl w:val="0"/>
          <w:numId w:val="1"/>
        </w:numPr>
        <w:spacing w:after="0" w:line="240" w:lineRule="auto"/>
        <w:rPr>
          <w:rFonts w:ascii="Arial" w:hAnsi="Arial" w:cs="Arial"/>
          <w:sz w:val="26"/>
          <w:szCs w:val="26"/>
        </w:rPr>
      </w:pPr>
      <w:r w:rsidRPr="00173565">
        <w:rPr>
          <w:rFonts w:ascii="Arial" w:hAnsi="Arial" w:cs="Arial"/>
          <w:sz w:val="26"/>
          <w:szCs w:val="26"/>
          <w:u w:val="single"/>
        </w:rPr>
        <w:t>Strategic Director’s Recommendation</w:t>
      </w:r>
    </w:p>
    <w:p w:rsidRPr="00173565" w:rsidR="007C57E2" w:rsidP="007C57E2" w:rsidRDefault="007C57E2">
      <w:pPr>
        <w:pStyle w:val="ListParagraph"/>
        <w:spacing w:after="0" w:line="240" w:lineRule="auto"/>
        <w:rPr>
          <w:rFonts w:ascii="Arial" w:hAnsi="Arial" w:cs="Arial"/>
          <w:sz w:val="16"/>
          <w:szCs w:val="26"/>
        </w:rPr>
      </w:pPr>
    </w:p>
    <w:p w:rsidRPr="003E36C4" w:rsidR="003E36C4" w:rsidP="003E36C4" w:rsidRDefault="003E36C4">
      <w:pPr>
        <w:pStyle w:val="ListParagraph"/>
        <w:spacing w:after="0" w:line="240" w:lineRule="auto"/>
        <w:rPr>
          <w:rFonts w:ascii="Arial" w:hAnsi="Arial" w:cs="Arial"/>
          <w:sz w:val="26"/>
          <w:szCs w:val="26"/>
        </w:rPr>
      </w:pPr>
      <w:r w:rsidRPr="003E36C4">
        <w:rPr>
          <w:rFonts w:ascii="Arial" w:hAnsi="Arial" w:cs="Arial"/>
          <w:sz w:val="26"/>
          <w:szCs w:val="26"/>
        </w:rPr>
        <w:t xml:space="preserve">That the Schools Forum: </w:t>
      </w:r>
    </w:p>
    <w:p w:rsidRPr="003E36C4" w:rsidR="003E36C4" w:rsidP="003E36C4" w:rsidRDefault="003E36C4">
      <w:pPr>
        <w:pStyle w:val="ListParagraph"/>
        <w:spacing w:after="0" w:line="240" w:lineRule="auto"/>
        <w:rPr>
          <w:rFonts w:ascii="Arial" w:hAnsi="Arial" w:cs="Arial"/>
          <w:sz w:val="26"/>
          <w:szCs w:val="26"/>
        </w:rPr>
      </w:pPr>
    </w:p>
    <w:p w:rsidR="003E36C4" w:rsidP="003E36C4" w:rsidRDefault="000360E1">
      <w:pPr>
        <w:pStyle w:val="ListParagraph"/>
        <w:numPr>
          <w:ilvl w:val="0"/>
          <w:numId w:val="18"/>
        </w:numPr>
        <w:spacing w:after="0" w:line="240" w:lineRule="auto"/>
        <w:rPr>
          <w:rFonts w:ascii="Arial" w:hAnsi="Arial" w:cs="Arial"/>
          <w:sz w:val="26"/>
          <w:szCs w:val="26"/>
        </w:rPr>
      </w:pPr>
      <w:r>
        <w:rPr>
          <w:rFonts w:ascii="Arial" w:hAnsi="Arial" w:cs="Arial"/>
          <w:sz w:val="26"/>
          <w:szCs w:val="26"/>
        </w:rPr>
        <w:t>A</w:t>
      </w:r>
      <w:r w:rsidRPr="003E36C4">
        <w:rPr>
          <w:rFonts w:ascii="Arial" w:hAnsi="Arial" w:cs="Arial"/>
          <w:sz w:val="26"/>
          <w:szCs w:val="26"/>
        </w:rPr>
        <w:t>gree a £0.100m in</w:t>
      </w:r>
      <w:r>
        <w:rPr>
          <w:rFonts w:ascii="Arial" w:hAnsi="Arial" w:cs="Arial"/>
          <w:sz w:val="26"/>
          <w:szCs w:val="26"/>
        </w:rPr>
        <w:t>-</w:t>
      </w:r>
      <w:r w:rsidRPr="003E36C4">
        <w:rPr>
          <w:rFonts w:ascii="Arial" w:hAnsi="Arial" w:cs="Arial"/>
          <w:sz w:val="26"/>
          <w:szCs w:val="26"/>
        </w:rPr>
        <w:t xml:space="preserve">year </w:t>
      </w:r>
      <w:r>
        <w:rPr>
          <w:rFonts w:ascii="Arial" w:hAnsi="Arial" w:cs="Arial"/>
          <w:sz w:val="26"/>
          <w:szCs w:val="26"/>
        </w:rPr>
        <w:t xml:space="preserve">pupil </w:t>
      </w:r>
      <w:r w:rsidRPr="003E36C4">
        <w:rPr>
          <w:rFonts w:ascii="Arial" w:hAnsi="Arial" w:cs="Arial"/>
          <w:sz w:val="26"/>
          <w:szCs w:val="26"/>
        </w:rPr>
        <w:t>growth budget for 2018-19</w:t>
      </w:r>
      <w:r>
        <w:rPr>
          <w:rFonts w:ascii="Arial" w:hAnsi="Arial" w:cs="Arial"/>
          <w:sz w:val="26"/>
          <w:szCs w:val="26"/>
        </w:rPr>
        <w:t xml:space="preserve"> to be met from a reduction in the Key Stage 1 class size fund</w:t>
      </w:r>
      <w:r w:rsidR="003E36C4">
        <w:rPr>
          <w:rFonts w:ascii="Arial" w:hAnsi="Arial" w:cs="Arial"/>
          <w:sz w:val="26"/>
          <w:szCs w:val="26"/>
        </w:rPr>
        <w:t>;</w:t>
      </w:r>
    </w:p>
    <w:p w:rsidRPr="007F6BD2" w:rsidR="000360E1" w:rsidP="000360E1" w:rsidRDefault="000360E1">
      <w:pPr>
        <w:pStyle w:val="ListParagraph"/>
        <w:spacing w:after="0" w:line="240" w:lineRule="auto"/>
        <w:ind w:left="1440"/>
        <w:rPr>
          <w:rFonts w:ascii="Arial" w:hAnsi="Arial" w:cs="Arial"/>
          <w:sz w:val="18"/>
          <w:szCs w:val="26"/>
        </w:rPr>
      </w:pPr>
    </w:p>
    <w:p w:rsidR="003E36C4" w:rsidP="003E36C4" w:rsidRDefault="000360E1">
      <w:pPr>
        <w:pStyle w:val="ListParagraph"/>
        <w:numPr>
          <w:ilvl w:val="0"/>
          <w:numId w:val="18"/>
        </w:numPr>
        <w:spacing w:after="0" w:line="240" w:lineRule="auto"/>
        <w:rPr>
          <w:rFonts w:ascii="Arial" w:hAnsi="Arial" w:cs="Arial"/>
          <w:sz w:val="26"/>
          <w:szCs w:val="26"/>
        </w:rPr>
      </w:pPr>
      <w:r>
        <w:rPr>
          <w:rFonts w:ascii="Arial" w:hAnsi="Arial" w:cs="Arial"/>
          <w:sz w:val="26"/>
          <w:szCs w:val="26"/>
        </w:rPr>
        <w:t>Agree, save for in exceptional circumstances, that schools with 300 children or more on roll would not normally be eligible for support from the KS1 growth fund from September 2018</w:t>
      </w:r>
      <w:r w:rsidR="003E36C4">
        <w:rPr>
          <w:rFonts w:ascii="Arial" w:hAnsi="Arial" w:cs="Arial"/>
          <w:sz w:val="26"/>
          <w:szCs w:val="26"/>
        </w:rPr>
        <w:t>;</w:t>
      </w:r>
    </w:p>
    <w:p w:rsidRPr="007F6BD2" w:rsidR="000360E1" w:rsidP="000360E1" w:rsidRDefault="000360E1">
      <w:pPr>
        <w:pStyle w:val="ListParagraph"/>
        <w:spacing w:after="0" w:line="240" w:lineRule="auto"/>
        <w:ind w:left="1440"/>
        <w:rPr>
          <w:rFonts w:ascii="Arial" w:hAnsi="Arial" w:cs="Arial"/>
          <w:sz w:val="18"/>
          <w:szCs w:val="26"/>
        </w:rPr>
      </w:pPr>
    </w:p>
    <w:p w:rsidR="00DF2FF2" w:rsidP="003E36C4" w:rsidRDefault="000360E1">
      <w:pPr>
        <w:pStyle w:val="ListParagraph"/>
        <w:numPr>
          <w:ilvl w:val="0"/>
          <w:numId w:val="18"/>
        </w:numPr>
        <w:spacing w:after="0" w:line="240" w:lineRule="auto"/>
        <w:rPr>
          <w:rFonts w:ascii="Arial" w:hAnsi="Arial" w:cs="Arial"/>
          <w:sz w:val="26"/>
          <w:szCs w:val="26"/>
        </w:rPr>
      </w:pPr>
      <w:r>
        <w:rPr>
          <w:rFonts w:ascii="Arial" w:hAnsi="Arial" w:cs="Arial"/>
          <w:sz w:val="26"/>
          <w:szCs w:val="26"/>
        </w:rPr>
        <w:t>A</w:t>
      </w:r>
      <w:r w:rsidR="00DF2FF2">
        <w:rPr>
          <w:rFonts w:ascii="Arial" w:hAnsi="Arial" w:cs="Arial"/>
          <w:sz w:val="26"/>
          <w:szCs w:val="26"/>
        </w:rPr>
        <w:t xml:space="preserve">gree that </w:t>
      </w:r>
      <w:r w:rsidR="00DF2FF2">
        <w:rPr>
          <w:rFonts w:ascii="Arial" w:hAnsi="Arial" w:cs="Arial"/>
          <w:sz w:val="26"/>
          <w:szCs w:val="26"/>
        </w:rPr>
        <w:t>claims are subject to the application of the 1% test and an assessment of affordability as set out in 2.1 above</w:t>
      </w:r>
    </w:p>
    <w:p w:rsidRPr="00DF2FF2" w:rsidR="00DF2FF2" w:rsidP="00DF2FF2" w:rsidRDefault="00DF2FF2">
      <w:pPr>
        <w:pStyle w:val="ListParagraph"/>
        <w:rPr>
          <w:rFonts w:ascii="Arial" w:hAnsi="Arial" w:cs="Arial"/>
          <w:sz w:val="26"/>
          <w:szCs w:val="26"/>
        </w:rPr>
      </w:pPr>
    </w:p>
    <w:p w:rsidR="003E36C4" w:rsidP="003E36C4" w:rsidRDefault="00DF2FF2">
      <w:pPr>
        <w:pStyle w:val="ListParagraph"/>
        <w:numPr>
          <w:ilvl w:val="0"/>
          <w:numId w:val="18"/>
        </w:numPr>
        <w:spacing w:after="0" w:line="240" w:lineRule="auto"/>
        <w:rPr>
          <w:rFonts w:ascii="Arial" w:hAnsi="Arial" w:cs="Arial"/>
          <w:sz w:val="26"/>
          <w:szCs w:val="26"/>
        </w:rPr>
      </w:pPr>
      <w:r>
        <w:rPr>
          <w:rFonts w:ascii="Arial" w:hAnsi="Arial" w:cs="Arial"/>
          <w:sz w:val="26"/>
          <w:szCs w:val="26"/>
        </w:rPr>
        <w:lastRenderedPageBreak/>
        <w:t>A</w:t>
      </w:r>
      <w:r w:rsidR="000360E1">
        <w:rPr>
          <w:rFonts w:ascii="Arial" w:hAnsi="Arial" w:cs="Arial"/>
          <w:sz w:val="26"/>
          <w:szCs w:val="26"/>
        </w:rPr>
        <w:t>gree a budget of £1.030m in 2018-19 to meet the costs of pre-opening support to new free schools</w:t>
      </w:r>
      <w:r w:rsidR="00BD7288">
        <w:rPr>
          <w:rFonts w:ascii="Arial" w:hAnsi="Arial" w:cs="Arial"/>
          <w:sz w:val="26"/>
          <w:szCs w:val="26"/>
        </w:rPr>
        <w:t>,</w:t>
      </w:r>
      <w:r w:rsidR="000360E1">
        <w:rPr>
          <w:rFonts w:ascii="Arial" w:hAnsi="Arial" w:cs="Arial"/>
          <w:sz w:val="26"/>
          <w:szCs w:val="26"/>
        </w:rPr>
        <w:t xml:space="preserve"> to be funded from DSG reserves</w:t>
      </w:r>
      <w:r w:rsidR="003E36C4">
        <w:rPr>
          <w:rFonts w:ascii="Arial" w:hAnsi="Arial" w:cs="Arial"/>
          <w:sz w:val="26"/>
          <w:szCs w:val="26"/>
        </w:rPr>
        <w:t>;</w:t>
      </w:r>
    </w:p>
    <w:p w:rsidRPr="007F6BD2" w:rsidR="000360E1" w:rsidP="000360E1" w:rsidRDefault="000360E1">
      <w:pPr>
        <w:pStyle w:val="ListParagraph"/>
        <w:spacing w:after="0" w:line="240" w:lineRule="auto"/>
        <w:ind w:left="1440"/>
        <w:rPr>
          <w:rFonts w:ascii="Arial" w:hAnsi="Arial" w:cs="Arial"/>
          <w:sz w:val="18"/>
          <w:szCs w:val="26"/>
        </w:rPr>
      </w:pPr>
    </w:p>
    <w:p w:rsidR="003E36C4" w:rsidP="003E36C4" w:rsidRDefault="000360E1">
      <w:pPr>
        <w:pStyle w:val="ListParagraph"/>
        <w:numPr>
          <w:ilvl w:val="0"/>
          <w:numId w:val="18"/>
        </w:numPr>
        <w:spacing w:after="0" w:line="240" w:lineRule="auto"/>
        <w:rPr>
          <w:rFonts w:ascii="Arial" w:hAnsi="Arial" w:cs="Arial"/>
          <w:sz w:val="26"/>
          <w:szCs w:val="26"/>
        </w:rPr>
      </w:pPr>
      <w:r>
        <w:rPr>
          <w:rFonts w:ascii="Arial" w:hAnsi="Arial" w:cs="Arial"/>
          <w:sz w:val="26"/>
          <w:szCs w:val="26"/>
        </w:rPr>
        <w:t xml:space="preserve">Agree to set aside a further £0.220m for pre-opening support costs in respect of the proposed new free school, The Avenue - Wingerworth, from DSG reserves </w:t>
      </w:r>
      <w:r w:rsidR="003E36C4">
        <w:rPr>
          <w:rFonts w:ascii="Arial" w:hAnsi="Arial" w:cs="Arial"/>
          <w:sz w:val="26"/>
          <w:szCs w:val="26"/>
        </w:rPr>
        <w:t>N</w:t>
      </w:r>
      <w:r w:rsidRPr="003E36C4" w:rsidR="003E36C4">
        <w:rPr>
          <w:rFonts w:ascii="Arial" w:hAnsi="Arial" w:cs="Arial"/>
          <w:sz w:val="26"/>
          <w:szCs w:val="26"/>
        </w:rPr>
        <w:t>ote the potential pressure on the Schools Block for 2019-20 and beyond and agree to receive further reports on this issue.</w:t>
      </w:r>
    </w:p>
    <w:p w:rsidRPr="007F6BD2" w:rsidR="000360E1" w:rsidP="000360E1" w:rsidRDefault="000360E1">
      <w:pPr>
        <w:pStyle w:val="ListParagraph"/>
        <w:rPr>
          <w:rFonts w:ascii="Arial" w:hAnsi="Arial" w:cs="Arial"/>
          <w:sz w:val="18"/>
          <w:szCs w:val="26"/>
        </w:rPr>
      </w:pPr>
    </w:p>
    <w:p w:rsidR="000360E1" w:rsidP="003E36C4" w:rsidRDefault="000360E1">
      <w:pPr>
        <w:pStyle w:val="ListParagraph"/>
        <w:numPr>
          <w:ilvl w:val="0"/>
          <w:numId w:val="18"/>
        </w:numPr>
        <w:spacing w:after="0" w:line="240" w:lineRule="auto"/>
        <w:rPr>
          <w:rFonts w:ascii="Arial" w:hAnsi="Arial" w:cs="Arial"/>
          <w:sz w:val="26"/>
          <w:szCs w:val="26"/>
        </w:rPr>
      </w:pPr>
      <w:r>
        <w:rPr>
          <w:rFonts w:ascii="Arial" w:hAnsi="Arial" w:cs="Arial"/>
          <w:sz w:val="26"/>
          <w:szCs w:val="26"/>
        </w:rPr>
        <w:t>Note the potential pressure on the Schools Block for 2019-20 and beyond and agree to receive a further report on this issue in autumn 2018;</w:t>
      </w:r>
    </w:p>
    <w:p w:rsidRPr="007F6BD2" w:rsidR="000360E1" w:rsidP="000360E1" w:rsidRDefault="000360E1">
      <w:pPr>
        <w:pStyle w:val="ListParagraph"/>
        <w:rPr>
          <w:rFonts w:ascii="Arial" w:hAnsi="Arial" w:cs="Arial"/>
          <w:sz w:val="18"/>
          <w:szCs w:val="26"/>
        </w:rPr>
      </w:pPr>
    </w:p>
    <w:p w:rsidRPr="003E36C4" w:rsidR="000360E1" w:rsidP="003E36C4" w:rsidRDefault="000360E1">
      <w:pPr>
        <w:pStyle w:val="ListParagraph"/>
        <w:numPr>
          <w:ilvl w:val="0"/>
          <w:numId w:val="18"/>
        </w:numPr>
        <w:spacing w:after="0" w:line="240" w:lineRule="auto"/>
        <w:rPr>
          <w:rFonts w:ascii="Arial" w:hAnsi="Arial" w:cs="Arial"/>
          <w:sz w:val="26"/>
          <w:szCs w:val="26"/>
        </w:rPr>
      </w:pPr>
      <w:r>
        <w:rPr>
          <w:rFonts w:ascii="Arial" w:hAnsi="Arial" w:cs="Arial"/>
          <w:sz w:val="26"/>
          <w:szCs w:val="26"/>
        </w:rPr>
        <w:t xml:space="preserve">Note the responses from schools and agree not to create a </w:t>
      </w:r>
      <w:r w:rsidR="000A15FD">
        <w:rPr>
          <w:rFonts w:ascii="Arial" w:hAnsi="Arial" w:cs="Arial"/>
          <w:sz w:val="26"/>
          <w:szCs w:val="26"/>
        </w:rPr>
        <w:t xml:space="preserve">falling rolls </w:t>
      </w:r>
      <w:r>
        <w:rPr>
          <w:rFonts w:ascii="Arial" w:hAnsi="Arial" w:cs="Arial"/>
          <w:sz w:val="26"/>
          <w:szCs w:val="26"/>
        </w:rPr>
        <w:t>fund for good or outstanding schools in 2018-19</w:t>
      </w:r>
      <w:r w:rsidR="00DF2FF2">
        <w:rPr>
          <w:rFonts w:ascii="Arial" w:hAnsi="Arial" w:cs="Arial"/>
          <w:sz w:val="26"/>
          <w:szCs w:val="26"/>
        </w:rPr>
        <w:t>.</w:t>
      </w:r>
    </w:p>
    <w:p w:rsidRPr="007F6BD2" w:rsidR="007F6BD2" w:rsidP="007C57E2" w:rsidRDefault="007F6BD2">
      <w:pPr>
        <w:spacing w:after="0" w:line="240" w:lineRule="auto"/>
        <w:ind w:left="709"/>
        <w:jc w:val="center"/>
        <w:rPr>
          <w:rFonts w:ascii="Arial" w:hAnsi="Arial" w:cs="Arial"/>
          <w:b/>
          <w:sz w:val="26"/>
          <w:szCs w:val="26"/>
        </w:rPr>
      </w:pPr>
    </w:p>
    <w:p w:rsidRPr="00173565" w:rsidR="007C57E2" w:rsidP="007C57E2" w:rsidRDefault="007C57E2">
      <w:pPr>
        <w:spacing w:after="0" w:line="240" w:lineRule="auto"/>
        <w:ind w:left="709"/>
        <w:jc w:val="center"/>
        <w:rPr>
          <w:rFonts w:ascii="Arial" w:hAnsi="Arial" w:cs="Arial"/>
          <w:b/>
          <w:sz w:val="26"/>
          <w:szCs w:val="26"/>
        </w:rPr>
      </w:pPr>
      <w:r w:rsidRPr="00173565">
        <w:rPr>
          <w:rFonts w:ascii="Arial" w:hAnsi="Arial" w:cs="Arial"/>
          <w:b/>
          <w:sz w:val="26"/>
          <w:szCs w:val="26"/>
        </w:rPr>
        <w:t>JANE PARFREMENT</w:t>
      </w:r>
    </w:p>
    <w:p w:rsidRPr="000318C8" w:rsidR="00A068EF" w:rsidP="006A5091" w:rsidRDefault="007C57E2">
      <w:pPr>
        <w:spacing w:after="0" w:line="240" w:lineRule="auto"/>
        <w:ind w:left="709"/>
        <w:jc w:val="center"/>
        <w:rPr>
          <w:sz w:val="10"/>
        </w:rPr>
      </w:pPr>
      <w:r w:rsidRPr="00173565">
        <w:rPr>
          <w:rFonts w:ascii="Arial" w:hAnsi="Arial" w:cs="Arial"/>
          <w:b/>
          <w:sz w:val="26"/>
          <w:szCs w:val="26"/>
        </w:rPr>
        <w:t xml:space="preserve">Strategic </w:t>
      </w:r>
      <w:r>
        <w:rPr>
          <w:rFonts w:ascii="Arial" w:hAnsi="Arial" w:cs="Arial"/>
          <w:b/>
          <w:sz w:val="26"/>
          <w:szCs w:val="26"/>
        </w:rPr>
        <w:t>Director for</w:t>
      </w:r>
      <w:bookmarkStart w:name="_GoBack" w:id="0"/>
      <w:bookmarkEnd w:id="0"/>
      <w:r>
        <w:rPr>
          <w:rFonts w:ascii="Arial" w:hAnsi="Arial" w:cs="Arial"/>
          <w:b/>
          <w:sz w:val="26"/>
          <w:szCs w:val="26"/>
        </w:rPr>
        <w:t xml:space="preserve"> Children’s Service</w:t>
      </w:r>
      <w:r w:rsidR="00B1363D">
        <w:rPr>
          <w:rFonts w:ascii="Arial" w:hAnsi="Arial" w:cs="Arial"/>
          <w:b/>
          <w:sz w:val="26"/>
          <w:szCs w:val="26"/>
        </w:rPr>
        <w:t>s</w:t>
      </w:r>
    </w:p>
    <w:sectPr w:rsidRPr="000318C8" w:rsidR="00A068EF" w:rsidSect="00462251">
      <w:footerReference w:type="default" r:id="rId8"/>
      <w:pgSz w:w="11906" w:h="16838"/>
      <w:pgMar w:top="426" w:right="707" w:bottom="993" w:left="28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717" w:rsidRDefault="00AF3717" w:rsidP="007C57E2">
      <w:pPr>
        <w:spacing w:after="0" w:line="240" w:lineRule="auto"/>
      </w:pPr>
      <w:r>
        <w:separator/>
      </w:r>
    </w:p>
  </w:endnote>
  <w:endnote w:type="continuationSeparator" w:id="0">
    <w:p w:rsidR="00AF3717" w:rsidRDefault="00AF3717" w:rsidP="007C5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0024584"/>
      <w:docPartObj>
        <w:docPartGallery w:val="Page Numbers (Bottom of Page)"/>
        <w:docPartUnique/>
      </w:docPartObj>
    </w:sdtPr>
    <w:sdtEndPr>
      <w:rPr>
        <w:noProof/>
      </w:rPr>
    </w:sdtEndPr>
    <w:sdtContent>
      <w:p w:rsidR="00462251" w:rsidRDefault="00462251">
        <w:pPr>
          <w:pStyle w:val="Footer"/>
          <w:jc w:val="center"/>
        </w:pPr>
        <w:r>
          <w:fldChar w:fldCharType="begin"/>
        </w:r>
        <w:r>
          <w:instrText xml:space="preserve"> PAGE   \* MERGEFORMAT </w:instrText>
        </w:r>
        <w:r>
          <w:fldChar w:fldCharType="separate"/>
        </w:r>
        <w:r w:rsidR="00DF2FF2">
          <w:rPr>
            <w:noProof/>
          </w:rPr>
          <w:t>5</w:t>
        </w:r>
        <w:r>
          <w:rPr>
            <w:noProof/>
          </w:rPr>
          <w:fldChar w:fldCharType="end"/>
        </w:r>
      </w:p>
    </w:sdtContent>
  </w:sdt>
  <w:p w:rsidR="00462251" w:rsidRDefault="00462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717" w:rsidRDefault="00AF3717" w:rsidP="007C57E2">
      <w:pPr>
        <w:spacing w:after="0" w:line="240" w:lineRule="auto"/>
      </w:pPr>
      <w:r>
        <w:separator/>
      </w:r>
    </w:p>
  </w:footnote>
  <w:footnote w:type="continuationSeparator" w:id="0">
    <w:p w:rsidR="00AF3717" w:rsidRDefault="00AF3717" w:rsidP="007C57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E72"/>
    <w:multiLevelType w:val="hybridMultilevel"/>
    <w:tmpl w:val="8D3CC0CC"/>
    <w:lvl w:ilvl="0" w:tplc="181C58AE">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060115BE"/>
    <w:multiLevelType w:val="hybridMultilevel"/>
    <w:tmpl w:val="B6C8B824"/>
    <w:lvl w:ilvl="0" w:tplc="72CA0E8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A5C1EE7"/>
    <w:multiLevelType w:val="hybridMultilevel"/>
    <w:tmpl w:val="400EBEF2"/>
    <w:lvl w:ilvl="0" w:tplc="F672289C">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0A627641"/>
    <w:multiLevelType w:val="hybridMultilevel"/>
    <w:tmpl w:val="D002938E"/>
    <w:lvl w:ilvl="0" w:tplc="78F0040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ED06F9C"/>
    <w:multiLevelType w:val="hybridMultilevel"/>
    <w:tmpl w:val="0ED6A4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6F4DD9"/>
    <w:multiLevelType w:val="hybridMultilevel"/>
    <w:tmpl w:val="E440138E"/>
    <w:lvl w:ilvl="0" w:tplc="FACE40E4">
      <w:start w:val="1"/>
      <w:numFmt w:val="lowerRoman"/>
      <w:lvlText w:val="(%1)"/>
      <w:lvlJc w:val="left"/>
      <w:pPr>
        <w:ind w:left="2006" w:hanging="720"/>
      </w:pPr>
      <w:rPr>
        <w:rFonts w:hint="default"/>
      </w:rPr>
    </w:lvl>
    <w:lvl w:ilvl="1" w:tplc="08090019" w:tentative="1">
      <w:start w:val="1"/>
      <w:numFmt w:val="lowerLetter"/>
      <w:lvlText w:val="%2."/>
      <w:lvlJc w:val="left"/>
      <w:pPr>
        <w:ind w:left="2366" w:hanging="360"/>
      </w:pPr>
    </w:lvl>
    <w:lvl w:ilvl="2" w:tplc="0809001B" w:tentative="1">
      <w:start w:val="1"/>
      <w:numFmt w:val="lowerRoman"/>
      <w:lvlText w:val="%3."/>
      <w:lvlJc w:val="right"/>
      <w:pPr>
        <w:ind w:left="3086" w:hanging="180"/>
      </w:pPr>
    </w:lvl>
    <w:lvl w:ilvl="3" w:tplc="0809000F" w:tentative="1">
      <w:start w:val="1"/>
      <w:numFmt w:val="decimal"/>
      <w:lvlText w:val="%4."/>
      <w:lvlJc w:val="left"/>
      <w:pPr>
        <w:ind w:left="3806" w:hanging="360"/>
      </w:pPr>
    </w:lvl>
    <w:lvl w:ilvl="4" w:tplc="08090019" w:tentative="1">
      <w:start w:val="1"/>
      <w:numFmt w:val="lowerLetter"/>
      <w:lvlText w:val="%5."/>
      <w:lvlJc w:val="left"/>
      <w:pPr>
        <w:ind w:left="4526" w:hanging="360"/>
      </w:pPr>
    </w:lvl>
    <w:lvl w:ilvl="5" w:tplc="0809001B" w:tentative="1">
      <w:start w:val="1"/>
      <w:numFmt w:val="lowerRoman"/>
      <w:lvlText w:val="%6."/>
      <w:lvlJc w:val="right"/>
      <w:pPr>
        <w:ind w:left="5246" w:hanging="180"/>
      </w:pPr>
    </w:lvl>
    <w:lvl w:ilvl="6" w:tplc="0809000F" w:tentative="1">
      <w:start w:val="1"/>
      <w:numFmt w:val="decimal"/>
      <w:lvlText w:val="%7."/>
      <w:lvlJc w:val="left"/>
      <w:pPr>
        <w:ind w:left="5966" w:hanging="360"/>
      </w:pPr>
    </w:lvl>
    <w:lvl w:ilvl="7" w:tplc="08090019" w:tentative="1">
      <w:start w:val="1"/>
      <w:numFmt w:val="lowerLetter"/>
      <w:lvlText w:val="%8."/>
      <w:lvlJc w:val="left"/>
      <w:pPr>
        <w:ind w:left="6686" w:hanging="360"/>
      </w:pPr>
    </w:lvl>
    <w:lvl w:ilvl="8" w:tplc="0809001B" w:tentative="1">
      <w:start w:val="1"/>
      <w:numFmt w:val="lowerRoman"/>
      <w:lvlText w:val="%9."/>
      <w:lvlJc w:val="right"/>
      <w:pPr>
        <w:ind w:left="7406" w:hanging="180"/>
      </w:pPr>
    </w:lvl>
  </w:abstractNum>
  <w:abstractNum w:abstractNumId="6" w15:restartNumberingAfterBreak="0">
    <w:nsid w:val="201B682D"/>
    <w:multiLevelType w:val="hybridMultilevel"/>
    <w:tmpl w:val="AE8A9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3B1CEF"/>
    <w:multiLevelType w:val="hybridMultilevel"/>
    <w:tmpl w:val="C91A9B54"/>
    <w:lvl w:ilvl="0" w:tplc="89308D5E">
      <w:start w:val="1"/>
      <w:numFmt w:val="lowerLetter"/>
      <w:lvlText w:val="(%1)"/>
      <w:lvlJc w:val="left"/>
      <w:pPr>
        <w:ind w:left="1069" w:hanging="360"/>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15:restartNumberingAfterBreak="0">
    <w:nsid w:val="319A26AF"/>
    <w:multiLevelType w:val="hybridMultilevel"/>
    <w:tmpl w:val="C87CCEB6"/>
    <w:lvl w:ilvl="0" w:tplc="67686CE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91D5671"/>
    <w:multiLevelType w:val="hybridMultilevel"/>
    <w:tmpl w:val="D4507A0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40EF5D82"/>
    <w:multiLevelType w:val="hybridMultilevel"/>
    <w:tmpl w:val="5F909298"/>
    <w:lvl w:ilvl="0" w:tplc="4BAEE8D2">
      <w:start w:val="1"/>
      <w:numFmt w:val="lowerRoman"/>
      <w:lvlText w:val="(%1)"/>
      <w:lvlJc w:val="left"/>
      <w:pPr>
        <w:ind w:left="1440" w:hanging="72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FD3161F"/>
    <w:multiLevelType w:val="hybridMultilevel"/>
    <w:tmpl w:val="673A82B0"/>
    <w:lvl w:ilvl="0" w:tplc="750CD83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DF44C1"/>
    <w:multiLevelType w:val="hybridMultilevel"/>
    <w:tmpl w:val="B6C8B824"/>
    <w:lvl w:ilvl="0" w:tplc="72CA0E8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3" w15:restartNumberingAfterBreak="0">
    <w:nsid w:val="677C4492"/>
    <w:multiLevelType w:val="hybridMultilevel"/>
    <w:tmpl w:val="0C10226C"/>
    <w:lvl w:ilvl="0" w:tplc="B208737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A6328AA"/>
    <w:multiLevelType w:val="hybridMultilevel"/>
    <w:tmpl w:val="8F9CCB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D2749D9"/>
    <w:multiLevelType w:val="hybridMultilevel"/>
    <w:tmpl w:val="B23409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E0917BE"/>
    <w:multiLevelType w:val="hybridMultilevel"/>
    <w:tmpl w:val="28D6E00E"/>
    <w:lvl w:ilvl="0" w:tplc="AA8C635C">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7D0E59F8"/>
    <w:multiLevelType w:val="multilevel"/>
    <w:tmpl w:val="E85495C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DC11D71"/>
    <w:multiLevelType w:val="hybridMultilevel"/>
    <w:tmpl w:val="7994AD4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7"/>
  </w:num>
  <w:num w:numId="2">
    <w:abstractNumId w:val="7"/>
  </w:num>
  <w:num w:numId="3">
    <w:abstractNumId w:val="5"/>
  </w:num>
  <w:num w:numId="4">
    <w:abstractNumId w:val="14"/>
  </w:num>
  <w:num w:numId="5">
    <w:abstractNumId w:val="13"/>
  </w:num>
  <w:num w:numId="6">
    <w:abstractNumId w:val="16"/>
  </w:num>
  <w:num w:numId="7">
    <w:abstractNumId w:val="0"/>
  </w:num>
  <w:num w:numId="8">
    <w:abstractNumId w:val="18"/>
  </w:num>
  <w:num w:numId="9">
    <w:abstractNumId w:val="9"/>
  </w:num>
  <w:num w:numId="10">
    <w:abstractNumId w:val="11"/>
  </w:num>
  <w:num w:numId="11">
    <w:abstractNumId w:val="2"/>
  </w:num>
  <w:num w:numId="12">
    <w:abstractNumId w:val="12"/>
  </w:num>
  <w:num w:numId="13">
    <w:abstractNumId w:val="1"/>
  </w:num>
  <w:num w:numId="14">
    <w:abstractNumId w:val="8"/>
  </w:num>
  <w:num w:numId="15">
    <w:abstractNumId w:val="6"/>
  </w:num>
  <w:num w:numId="16">
    <w:abstractNumId w:val="4"/>
  </w:num>
  <w:num w:numId="17">
    <w:abstractNumId w:val="10"/>
  </w:num>
  <w:num w:numId="18">
    <w:abstractNumId w:val="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E2"/>
    <w:rsid w:val="00014C8F"/>
    <w:rsid w:val="0002604D"/>
    <w:rsid w:val="00030B78"/>
    <w:rsid w:val="000318C8"/>
    <w:rsid w:val="000360E1"/>
    <w:rsid w:val="00065D35"/>
    <w:rsid w:val="00077E9F"/>
    <w:rsid w:val="000A15FD"/>
    <w:rsid w:val="000D7A29"/>
    <w:rsid w:val="00111CD8"/>
    <w:rsid w:val="00145AE7"/>
    <w:rsid w:val="001516D3"/>
    <w:rsid w:val="00155493"/>
    <w:rsid w:val="00157D74"/>
    <w:rsid w:val="0018031C"/>
    <w:rsid w:val="00180A5F"/>
    <w:rsid w:val="001C3073"/>
    <w:rsid w:val="001D726C"/>
    <w:rsid w:val="001F7FA6"/>
    <w:rsid w:val="00203364"/>
    <w:rsid w:val="00222D4F"/>
    <w:rsid w:val="00233EFD"/>
    <w:rsid w:val="002341A3"/>
    <w:rsid w:val="0026731B"/>
    <w:rsid w:val="00271904"/>
    <w:rsid w:val="00294A25"/>
    <w:rsid w:val="00296F6D"/>
    <w:rsid w:val="002D2990"/>
    <w:rsid w:val="002E3E7B"/>
    <w:rsid w:val="00301A25"/>
    <w:rsid w:val="00301C7C"/>
    <w:rsid w:val="00352FCD"/>
    <w:rsid w:val="003868FB"/>
    <w:rsid w:val="00391937"/>
    <w:rsid w:val="003A11CE"/>
    <w:rsid w:val="003C2994"/>
    <w:rsid w:val="003C66F5"/>
    <w:rsid w:val="003D0DE1"/>
    <w:rsid w:val="003E2294"/>
    <w:rsid w:val="003E36C4"/>
    <w:rsid w:val="003E7BF8"/>
    <w:rsid w:val="003F1BC1"/>
    <w:rsid w:val="00401B01"/>
    <w:rsid w:val="00436147"/>
    <w:rsid w:val="00442BF9"/>
    <w:rsid w:val="0044632E"/>
    <w:rsid w:val="00447347"/>
    <w:rsid w:val="0045724A"/>
    <w:rsid w:val="00462251"/>
    <w:rsid w:val="00471BC0"/>
    <w:rsid w:val="0049423F"/>
    <w:rsid w:val="004B5300"/>
    <w:rsid w:val="004B6A18"/>
    <w:rsid w:val="004C5AA6"/>
    <w:rsid w:val="004D2676"/>
    <w:rsid w:val="004D70B8"/>
    <w:rsid w:val="004F4572"/>
    <w:rsid w:val="004F7DDF"/>
    <w:rsid w:val="0051422A"/>
    <w:rsid w:val="00523EEF"/>
    <w:rsid w:val="005330E9"/>
    <w:rsid w:val="00546846"/>
    <w:rsid w:val="00575C7A"/>
    <w:rsid w:val="00594D48"/>
    <w:rsid w:val="005A4A68"/>
    <w:rsid w:val="005C747A"/>
    <w:rsid w:val="005D654A"/>
    <w:rsid w:val="005F1CC2"/>
    <w:rsid w:val="00621168"/>
    <w:rsid w:val="00624AC6"/>
    <w:rsid w:val="006545D2"/>
    <w:rsid w:val="0066671C"/>
    <w:rsid w:val="00670FBA"/>
    <w:rsid w:val="00671AC3"/>
    <w:rsid w:val="00691D21"/>
    <w:rsid w:val="006A276E"/>
    <w:rsid w:val="006A5091"/>
    <w:rsid w:val="006B388C"/>
    <w:rsid w:val="006B6B84"/>
    <w:rsid w:val="006B7ACD"/>
    <w:rsid w:val="00702854"/>
    <w:rsid w:val="00702B4D"/>
    <w:rsid w:val="00721EB6"/>
    <w:rsid w:val="0072662F"/>
    <w:rsid w:val="0074788A"/>
    <w:rsid w:val="007643CB"/>
    <w:rsid w:val="00767AF3"/>
    <w:rsid w:val="00783876"/>
    <w:rsid w:val="007C0AD7"/>
    <w:rsid w:val="007C47B4"/>
    <w:rsid w:val="007C57E2"/>
    <w:rsid w:val="007F6BD2"/>
    <w:rsid w:val="008032D6"/>
    <w:rsid w:val="00804F65"/>
    <w:rsid w:val="008268A6"/>
    <w:rsid w:val="00860749"/>
    <w:rsid w:val="008A6EBF"/>
    <w:rsid w:val="008C02F3"/>
    <w:rsid w:val="008C3131"/>
    <w:rsid w:val="008D1079"/>
    <w:rsid w:val="008D3C19"/>
    <w:rsid w:val="008E1693"/>
    <w:rsid w:val="008F3E84"/>
    <w:rsid w:val="0091491C"/>
    <w:rsid w:val="0091708D"/>
    <w:rsid w:val="009269B9"/>
    <w:rsid w:val="00937AD3"/>
    <w:rsid w:val="00942B81"/>
    <w:rsid w:val="00957C46"/>
    <w:rsid w:val="009633AA"/>
    <w:rsid w:val="00990B36"/>
    <w:rsid w:val="009A51E7"/>
    <w:rsid w:val="009C17A3"/>
    <w:rsid w:val="009D65BA"/>
    <w:rsid w:val="009E7BB6"/>
    <w:rsid w:val="00A068EF"/>
    <w:rsid w:val="00A16962"/>
    <w:rsid w:val="00A3261C"/>
    <w:rsid w:val="00A42E7D"/>
    <w:rsid w:val="00A61BC5"/>
    <w:rsid w:val="00A9069E"/>
    <w:rsid w:val="00AA4378"/>
    <w:rsid w:val="00AB5A04"/>
    <w:rsid w:val="00AE07F5"/>
    <w:rsid w:val="00AF3717"/>
    <w:rsid w:val="00AF4756"/>
    <w:rsid w:val="00B1363D"/>
    <w:rsid w:val="00B73455"/>
    <w:rsid w:val="00BB056B"/>
    <w:rsid w:val="00BD588E"/>
    <w:rsid w:val="00BD7288"/>
    <w:rsid w:val="00BF3112"/>
    <w:rsid w:val="00C03AF9"/>
    <w:rsid w:val="00C12DE8"/>
    <w:rsid w:val="00C20F13"/>
    <w:rsid w:val="00C3190D"/>
    <w:rsid w:val="00C50DFA"/>
    <w:rsid w:val="00C66A41"/>
    <w:rsid w:val="00C7442B"/>
    <w:rsid w:val="00C82865"/>
    <w:rsid w:val="00CB09B2"/>
    <w:rsid w:val="00CD1F01"/>
    <w:rsid w:val="00CF6068"/>
    <w:rsid w:val="00D1274A"/>
    <w:rsid w:val="00D14230"/>
    <w:rsid w:val="00D15647"/>
    <w:rsid w:val="00D33C19"/>
    <w:rsid w:val="00D42227"/>
    <w:rsid w:val="00D46797"/>
    <w:rsid w:val="00D51228"/>
    <w:rsid w:val="00D55571"/>
    <w:rsid w:val="00DA7747"/>
    <w:rsid w:val="00DD0837"/>
    <w:rsid w:val="00DD6C4A"/>
    <w:rsid w:val="00DE03B3"/>
    <w:rsid w:val="00DF0976"/>
    <w:rsid w:val="00DF2FF2"/>
    <w:rsid w:val="00E01597"/>
    <w:rsid w:val="00E11297"/>
    <w:rsid w:val="00E117FC"/>
    <w:rsid w:val="00E138AF"/>
    <w:rsid w:val="00E31DC5"/>
    <w:rsid w:val="00E67EE8"/>
    <w:rsid w:val="00E71303"/>
    <w:rsid w:val="00E71794"/>
    <w:rsid w:val="00E85ABB"/>
    <w:rsid w:val="00E9004E"/>
    <w:rsid w:val="00EC0318"/>
    <w:rsid w:val="00EE258D"/>
    <w:rsid w:val="00EF2473"/>
    <w:rsid w:val="00EF5598"/>
    <w:rsid w:val="00F05C52"/>
    <w:rsid w:val="00F23CFA"/>
    <w:rsid w:val="00F272F9"/>
    <w:rsid w:val="00F2781E"/>
    <w:rsid w:val="00F37B82"/>
    <w:rsid w:val="00F402E9"/>
    <w:rsid w:val="00F72426"/>
    <w:rsid w:val="00F83BAF"/>
    <w:rsid w:val="00FE26FE"/>
    <w:rsid w:val="00FF6E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2D83741-8CB3-46BF-A423-6CD09504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7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7E2"/>
    <w:pPr>
      <w:ind w:left="720"/>
      <w:contextualSpacing/>
    </w:pPr>
  </w:style>
  <w:style w:type="table" w:styleId="TableGrid">
    <w:name w:val="Table Grid"/>
    <w:basedOn w:val="TableNormal"/>
    <w:uiPriority w:val="39"/>
    <w:rsid w:val="00671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19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90D"/>
    <w:rPr>
      <w:rFonts w:ascii="Segoe UI" w:hAnsi="Segoe UI" w:cs="Segoe UI"/>
      <w:sz w:val="18"/>
      <w:szCs w:val="18"/>
    </w:rPr>
  </w:style>
  <w:style w:type="paragraph" w:customStyle="1" w:styleId="Default">
    <w:name w:val="Default"/>
    <w:rsid w:val="0044734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4622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251"/>
  </w:style>
  <w:style w:type="paragraph" w:styleId="Footer">
    <w:name w:val="footer"/>
    <w:basedOn w:val="Normal"/>
    <w:link w:val="FooterChar"/>
    <w:uiPriority w:val="99"/>
    <w:unhideWhenUsed/>
    <w:rsid w:val="004622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7BDAD-2DE4-4760-AA6C-40C5198A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6</Pages>
  <Words>1956</Words>
  <Characters>11151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13081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 721 School Forum Dec 2017 Growth funds</dc:title>
  <dc:subject>
  </dc:subject>
  <dc:creator>Chris Allcock (Childrens Services)</dc:creator>
  <cp:keywords>
  </cp:keywords>
  <dc:description>
  </dc:description>
  <cp:lastModifiedBy>Jo Armstrong</cp:lastModifiedBy>
  <cp:revision>45</cp:revision>
  <cp:lastPrinted>2017-11-30T16:36:00Z</cp:lastPrinted>
  <dcterms:created xsi:type="dcterms:W3CDTF">2017-12-04T15:49:00Z</dcterms:created>
  <dcterms:modified xsi:type="dcterms:W3CDTF">2017-12-19T14:31:40Z</dcterms:modified>
</cp:coreProperties>
</file>