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9075E" w:rsidR="007C44C9" w:rsidP="00112C46" w:rsidRDefault="00331809">
      <w:pPr>
        <w:spacing w:after="120"/>
        <w:jc w:val="center"/>
        <w:rPr>
          <w:rFonts w:cs="Arial"/>
          <w:sz w:val="26"/>
          <w:szCs w:val="26"/>
          <w:u w:val="single"/>
        </w:rPr>
      </w:pPr>
      <w:r w:rsidRPr="0029075E">
        <w:rPr>
          <w:rFonts w:cs="Arial"/>
          <w:noProof/>
          <w:sz w:val="26"/>
          <w:szCs w:val="26"/>
          <w:u w:val="single"/>
          <w:lang w:eastAsia="en-GB"/>
        </w:rPr>
        <mc:AlternateContent>
          <mc:Choice Requires="wps">
            <w:drawing>
              <wp:anchor distT="0" distB="0" distL="114300" distR="114300" simplePos="0" relativeHeight="251659264" behindDoc="0" locked="0" layoutInCell="1" allowOverlap="1" wp14:editId="1653E0AF" wp14:anchorId="6FC5E7A0">
                <wp:simplePos x="0" y="0"/>
                <wp:positionH relativeFrom="column">
                  <wp:posOffset>-168275</wp:posOffset>
                </wp:positionH>
                <wp:positionV relativeFrom="paragraph">
                  <wp:posOffset>-140335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6D16C5" w:rsidR="00CE73DD" w:rsidRDefault="00CE73DD">
                            <w:pPr>
                              <w:rPr>
                                <w:sz w:val="26"/>
                                <w:szCs w:val="26"/>
                              </w:rPr>
                            </w:pPr>
                            <w:r w:rsidRPr="006D16C5">
                              <w:rPr>
                                <w:sz w:val="26"/>
                                <w:szCs w:val="26"/>
                              </w:rPr>
                              <w:t xml:space="preserve">Rep </w:t>
                            </w:r>
                            <w:r w:rsidR="00A5627B">
                              <w:rPr>
                                <w:sz w:val="26"/>
                                <w:szCs w:val="26"/>
                              </w:rPr>
                              <w:t>712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6FC5E7A0">
                <v:stroke joinstyle="miter"/>
                <v:path gradientshapeok="t" o:connecttype="rect"/>
              </v:shapetype>
              <v:shape id="Text Box 2" style="position:absolute;left:0;text-align:left;margin-left:-13.25pt;margin-top:-11.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OV7IAIAAB0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">
                <v:textbox style="mso-fit-shape-to-text:t">
                  <w:txbxContent>
                    <w:p w:rsidRPr="006D16C5" w:rsidR="00CE73DD" w:rsidRDefault="00CE73DD">
                      <w:pPr>
                        <w:rPr>
                          <w:sz w:val="26"/>
                          <w:szCs w:val="26"/>
                        </w:rPr>
                      </w:pPr>
                      <w:r w:rsidRPr="006D16C5">
                        <w:rPr>
                          <w:sz w:val="26"/>
                          <w:szCs w:val="26"/>
                        </w:rPr>
                        <w:t xml:space="preserve">Rep </w:t>
                      </w:r>
                      <w:r w:rsidR="00A5627B">
                        <w:rPr>
                          <w:sz w:val="26"/>
                          <w:szCs w:val="26"/>
                        </w:rPr>
                        <w:t>712</w:t>
                      </w:r>
                    </w:p>
                  </w:txbxContent>
                </v:textbox>
              </v:shape>
            </w:pict>
          </mc:Fallback>
        </mc:AlternateContent>
      </w:r>
      <w:r w:rsidRPr="0029075E" w:rsidR="005C15AE">
        <w:rPr>
          <w:rFonts w:cs="Arial"/>
          <w:noProof/>
          <w:sz w:val="26"/>
          <w:szCs w:val="26"/>
          <w:u w:val="single"/>
          <w:lang w:eastAsia="en-GB"/>
        </w:rPr>
        <mc:AlternateContent>
          <mc:Choice Requires="wps">
            <w:drawing>
              <wp:anchor distT="0" distB="0" distL="114300" distR="114300" simplePos="0" relativeHeight="251661312" behindDoc="0" locked="0" layoutInCell="1" allowOverlap="1" wp14:editId="38EF7B9A" wp14:anchorId="6701538F">
                <wp:simplePos x="0" y="0"/>
                <wp:positionH relativeFrom="column">
                  <wp:posOffset>4968190</wp:posOffset>
                </wp:positionH>
                <wp:positionV relativeFrom="paragraph">
                  <wp:posOffset>-105831</wp:posOffset>
                </wp:positionV>
                <wp:extent cx="1353787"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rsidRPr="006D16C5" w:rsidR="00CE73DD" w:rsidP="006D16C5" w:rsidRDefault="00CE73DD">
                            <w:pPr>
                              <w:rPr>
                                <w:sz w:val="26"/>
                                <w:szCs w:val="26"/>
                              </w:rPr>
                            </w:pPr>
                            <w:r>
                              <w:rPr>
                                <w:sz w:val="26"/>
                                <w:szCs w:val="26"/>
                              </w:rPr>
                              <w:t xml:space="preserve">Agenda Item </w:t>
                            </w:r>
                            <w:r w:rsidR="00F538C3">
                              <w:rPr>
                                <w:sz w:val="26"/>
                                <w:szCs w:val="26"/>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6701538F">
                <v:stroke joinstyle="miter"/>
                <v:path gradientshapeok="t" o:connecttype="rect"/>
              </v:shapetype>
              <v:shape id="_x0000_s1027" style="position:absolute;left:0;text-align:left;margin-left:391.2pt;margin-top:-8.35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">
                <v:textbox style="mso-fit-shape-to-text:t">
                  <w:txbxContent>
                    <w:p w:rsidRPr="006D16C5" w:rsidR="00CE73DD" w:rsidP="006D16C5" w:rsidRDefault="00CE73DD">
                      <w:pPr>
                        <w:rPr>
                          <w:sz w:val="26"/>
                          <w:szCs w:val="26"/>
                        </w:rPr>
                      </w:pPr>
                      <w:r>
                        <w:rPr>
                          <w:sz w:val="26"/>
                          <w:szCs w:val="26"/>
                        </w:rPr>
                        <w:t xml:space="preserve">Agenda Item </w:t>
                      </w:r>
                      <w:r w:rsidR="00F538C3">
                        <w:rPr>
                          <w:sz w:val="26"/>
                          <w:szCs w:val="26"/>
                        </w:rPr>
                        <w:t>7</w:t>
                      </w:r>
                    </w:p>
                  </w:txbxContent>
                </v:textbox>
              </v:shape>
            </w:pict>
          </mc:Fallback>
        </mc:AlternateContent>
      </w:r>
      <w:r w:rsidRPr="0029075E" w:rsidR="002B4E40">
        <w:rPr>
          <w:rFonts w:cs="Arial"/>
          <w:sz w:val="26"/>
          <w:szCs w:val="26"/>
          <w:u w:val="single"/>
        </w:rPr>
        <w:t>DERBYSHIRE COUNTY COUNCIL</w:t>
      </w:r>
    </w:p>
    <w:p w:rsidRPr="0029075E" w:rsidR="002B4E40" w:rsidP="00112C46" w:rsidRDefault="002B4E40">
      <w:pPr>
        <w:spacing w:after="120"/>
        <w:jc w:val="center"/>
        <w:rPr>
          <w:rFonts w:cs="Arial"/>
          <w:sz w:val="26"/>
          <w:szCs w:val="26"/>
          <w:u w:val="single"/>
        </w:rPr>
      </w:pPr>
      <w:r w:rsidRPr="0029075E">
        <w:rPr>
          <w:rFonts w:cs="Arial"/>
          <w:sz w:val="26"/>
          <w:szCs w:val="26"/>
          <w:u w:val="single"/>
        </w:rPr>
        <w:t>SCHOOLS FORUM</w:t>
      </w:r>
    </w:p>
    <w:p w:rsidRPr="0029075E" w:rsidR="002B4E40" w:rsidP="00112C46" w:rsidRDefault="004807CF">
      <w:pPr>
        <w:spacing w:after="120"/>
        <w:jc w:val="center"/>
        <w:rPr>
          <w:rFonts w:cs="Arial"/>
          <w:sz w:val="26"/>
          <w:szCs w:val="26"/>
          <w:u w:val="single"/>
        </w:rPr>
      </w:pPr>
      <w:r w:rsidRPr="0029075E">
        <w:rPr>
          <w:rFonts w:cs="Arial"/>
          <w:sz w:val="26"/>
          <w:szCs w:val="26"/>
          <w:u w:val="single"/>
        </w:rPr>
        <w:t>5</w:t>
      </w:r>
      <w:r w:rsidRPr="0029075E" w:rsidR="00E267EE">
        <w:rPr>
          <w:rFonts w:cs="Arial"/>
          <w:sz w:val="26"/>
          <w:szCs w:val="26"/>
          <w:u w:val="single"/>
          <w:vertAlign w:val="superscript"/>
        </w:rPr>
        <w:t>th</w:t>
      </w:r>
      <w:r w:rsidRPr="0029075E" w:rsidR="00E267EE">
        <w:rPr>
          <w:rFonts w:cs="Arial"/>
          <w:sz w:val="26"/>
          <w:szCs w:val="26"/>
          <w:u w:val="single"/>
        </w:rPr>
        <w:t xml:space="preserve"> </w:t>
      </w:r>
      <w:r w:rsidRPr="0029075E">
        <w:rPr>
          <w:rFonts w:cs="Arial"/>
          <w:sz w:val="26"/>
          <w:szCs w:val="26"/>
          <w:u w:val="single"/>
        </w:rPr>
        <w:t xml:space="preserve">October </w:t>
      </w:r>
      <w:r w:rsidRPr="0029075E" w:rsidR="002B4E40">
        <w:rPr>
          <w:rFonts w:cs="Arial"/>
          <w:sz w:val="26"/>
          <w:szCs w:val="26"/>
          <w:u w:val="single"/>
        </w:rPr>
        <w:t>201</w:t>
      </w:r>
      <w:r w:rsidRPr="0029075E" w:rsidR="00E267EE">
        <w:rPr>
          <w:rFonts w:cs="Arial"/>
          <w:sz w:val="26"/>
          <w:szCs w:val="26"/>
          <w:u w:val="single"/>
        </w:rPr>
        <w:t>7</w:t>
      </w:r>
    </w:p>
    <w:p w:rsidRPr="0029075E" w:rsidR="002B4E40" w:rsidP="00112C46" w:rsidRDefault="002B4E40">
      <w:pPr>
        <w:spacing w:after="120"/>
        <w:jc w:val="center"/>
        <w:rPr>
          <w:rFonts w:cs="Arial"/>
          <w:sz w:val="26"/>
          <w:szCs w:val="26"/>
          <w:u w:val="single"/>
        </w:rPr>
      </w:pPr>
      <w:r w:rsidRPr="0029075E">
        <w:rPr>
          <w:rFonts w:cs="Arial"/>
          <w:sz w:val="26"/>
          <w:szCs w:val="26"/>
          <w:u w:val="single"/>
        </w:rPr>
        <w:t>Report of the Strategic Director for Children’s Services</w:t>
      </w:r>
    </w:p>
    <w:p w:rsidRPr="0029075E" w:rsidR="002B4E40" w:rsidP="00112C46" w:rsidRDefault="00A6701B">
      <w:pPr>
        <w:spacing w:after="120"/>
        <w:jc w:val="center"/>
        <w:rPr>
          <w:rFonts w:cs="Arial"/>
          <w:sz w:val="26"/>
          <w:szCs w:val="26"/>
        </w:rPr>
      </w:pPr>
      <w:r w:rsidRPr="0029075E">
        <w:rPr>
          <w:rFonts w:cs="Arial"/>
          <w:sz w:val="26"/>
          <w:szCs w:val="26"/>
          <w:u w:val="single"/>
        </w:rPr>
        <w:t>High Needs National Funding Formula</w:t>
      </w:r>
    </w:p>
    <w:p w:rsidRPr="004A581C" w:rsidR="002B4E40" w:rsidP="00EC3F61" w:rsidRDefault="002B4E40">
      <w:pPr>
        <w:jc w:val="center"/>
        <w:rPr>
          <w:rFonts w:cs="Arial"/>
          <w:b/>
          <w:sz w:val="22"/>
          <w:szCs w:val="26"/>
        </w:rPr>
      </w:pPr>
    </w:p>
    <w:p w:rsidRPr="005E14A1" w:rsidR="002B4E40" w:rsidP="00EC3F61" w:rsidRDefault="002B4E40">
      <w:pPr>
        <w:pStyle w:val="ListParagraph"/>
        <w:numPr>
          <w:ilvl w:val="0"/>
          <w:numId w:val="1"/>
        </w:numPr>
        <w:ind w:left="709" w:hanging="709"/>
        <w:rPr>
          <w:rFonts w:cs="Arial"/>
          <w:b/>
          <w:sz w:val="26"/>
          <w:szCs w:val="26"/>
        </w:rPr>
      </w:pPr>
      <w:r w:rsidRPr="005E14A1">
        <w:rPr>
          <w:rFonts w:cs="Arial"/>
          <w:b/>
          <w:sz w:val="26"/>
          <w:szCs w:val="26"/>
          <w:u w:val="single"/>
        </w:rPr>
        <w:t>Purpose of the Report</w:t>
      </w:r>
    </w:p>
    <w:p w:rsidRPr="004A581C" w:rsidR="002B4E40" w:rsidP="00EC3F61" w:rsidRDefault="002B4E40">
      <w:pPr>
        <w:ind w:left="709" w:hanging="709"/>
        <w:rPr>
          <w:rFonts w:cs="Arial"/>
          <w:b/>
          <w:sz w:val="18"/>
          <w:szCs w:val="26"/>
        </w:rPr>
      </w:pPr>
    </w:p>
    <w:p w:rsidRPr="005E14A1" w:rsidR="00331809" w:rsidP="00331809" w:rsidRDefault="00331809">
      <w:pPr>
        <w:rPr>
          <w:rFonts w:cs="Arial"/>
          <w:sz w:val="26"/>
          <w:szCs w:val="26"/>
        </w:rPr>
      </w:pPr>
      <w:r w:rsidRPr="005E14A1">
        <w:rPr>
          <w:rFonts w:cs="Arial"/>
          <w:sz w:val="26"/>
          <w:szCs w:val="26"/>
        </w:rPr>
        <w:t xml:space="preserve">To </w:t>
      </w:r>
      <w:r w:rsidR="00441638">
        <w:rPr>
          <w:rFonts w:cs="Arial"/>
          <w:sz w:val="26"/>
          <w:szCs w:val="26"/>
        </w:rPr>
        <w:t xml:space="preserve">inform </w:t>
      </w:r>
      <w:r w:rsidR="00D15ED8">
        <w:rPr>
          <w:rFonts w:cs="Arial"/>
          <w:sz w:val="26"/>
          <w:szCs w:val="26"/>
        </w:rPr>
        <w:t xml:space="preserve">the </w:t>
      </w:r>
      <w:r w:rsidRPr="005E14A1">
        <w:rPr>
          <w:rFonts w:cs="Arial"/>
          <w:sz w:val="26"/>
          <w:szCs w:val="26"/>
        </w:rPr>
        <w:t xml:space="preserve">Schools Forum </w:t>
      </w:r>
      <w:r w:rsidR="00441638">
        <w:rPr>
          <w:rFonts w:cs="Arial"/>
          <w:sz w:val="26"/>
          <w:szCs w:val="26"/>
        </w:rPr>
        <w:t>of the government’s High Needs Block funding formula</w:t>
      </w:r>
      <w:r w:rsidR="00D15ED8">
        <w:rPr>
          <w:rFonts w:cs="Arial"/>
          <w:sz w:val="26"/>
          <w:szCs w:val="26"/>
        </w:rPr>
        <w:t xml:space="preserve">. </w:t>
      </w:r>
    </w:p>
    <w:p w:rsidRPr="004A581C" w:rsidR="005C15AE" w:rsidP="00EC3F61" w:rsidRDefault="005C15AE">
      <w:pPr>
        <w:ind w:left="709" w:hanging="709"/>
        <w:rPr>
          <w:rFonts w:cs="Arial"/>
          <w:b/>
          <w:sz w:val="18"/>
          <w:szCs w:val="26"/>
        </w:rPr>
      </w:pPr>
    </w:p>
    <w:p w:rsidRPr="005E14A1" w:rsidR="002B4E40" w:rsidP="00EC3F61" w:rsidRDefault="002B4E40">
      <w:pPr>
        <w:pStyle w:val="ListParagraph"/>
        <w:numPr>
          <w:ilvl w:val="0"/>
          <w:numId w:val="1"/>
        </w:numPr>
        <w:ind w:left="709" w:hanging="709"/>
        <w:rPr>
          <w:rFonts w:cs="Arial"/>
          <w:b/>
          <w:sz w:val="26"/>
          <w:szCs w:val="26"/>
        </w:rPr>
      </w:pPr>
      <w:r w:rsidRPr="005E14A1">
        <w:rPr>
          <w:rFonts w:cs="Arial"/>
          <w:b/>
          <w:sz w:val="26"/>
          <w:szCs w:val="26"/>
          <w:u w:val="single"/>
        </w:rPr>
        <w:t>Information and Analysis</w:t>
      </w:r>
    </w:p>
    <w:p w:rsidRPr="004A581C" w:rsidR="008619E4" w:rsidP="00EC3F61" w:rsidRDefault="008619E4">
      <w:pPr>
        <w:rPr>
          <w:rFonts w:cs="Arial"/>
          <w:sz w:val="22"/>
          <w:szCs w:val="26"/>
        </w:rPr>
      </w:pPr>
    </w:p>
    <w:p w:rsidRPr="00B04D7D" w:rsidR="00B04D7D" w:rsidP="00331809" w:rsidRDefault="00B04D7D">
      <w:pPr>
        <w:rPr>
          <w:rFonts w:cs="Arial"/>
          <w:b/>
          <w:sz w:val="26"/>
          <w:szCs w:val="26"/>
          <w:u w:val="single"/>
        </w:rPr>
      </w:pPr>
      <w:r w:rsidRPr="00B04D7D">
        <w:rPr>
          <w:rFonts w:cs="Arial"/>
          <w:b/>
          <w:sz w:val="26"/>
          <w:szCs w:val="26"/>
        </w:rPr>
        <w:t>2.1</w:t>
      </w:r>
      <w:r w:rsidRPr="00B04D7D">
        <w:rPr>
          <w:rFonts w:cs="Arial"/>
          <w:b/>
          <w:sz w:val="26"/>
          <w:szCs w:val="26"/>
        </w:rPr>
        <w:tab/>
      </w:r>
      <w:r w:rsidRPr="00B04D7D">
        <w:rPr>
          <w:rFonts w:cs="Arial"/>
          <w:b/>
          <w:sz w:val="26"/>
          <w:szCs w:val="26"/>
          <w:u w:val="single"/>
        </w:rPr>
        <w:t>High Needs Block Formula Overview</w:t>
      </w:r>
    </w:p>
    <w:p w:rsidRPr="004A581C" w:rsidR="00B04D7D" w:rsidP="00331809" w:rsidRDefault="00B04D7D">
      <w:pPr>
        <w:rPr>
          <w:rFonts w:cs="Arial"/>
          <w:sz w:val="22"/>
          <w:szCs w:val="26"/>
        </w:rPr>
      </w:pPr>
    </w:p>
    <w:p w:rsidR="00B91286" w:rsidP="00B91286" w:rsidRDefault="0020093C">
      <w:pPr>
        <w:rPr>
          <w:rFonts w:cs="Arial"/>
          <w:sz w:val="26"/>
          <w:szCs w:val="26"/>
        </w:rPr>
      </w:pPr>
      <w:r>
        <w:rPr>
          <w:rFonts w:cs="Arial"/>
          <w:sz w:val="26"/>
          <w:szCs w:val="26"/>
        </w:rPr>
        <w:t>In September 2017 t</w:t>
      </w:r>
      <w:r w:rsidR="00B91286">
        <w:rPr>
          <w:rFonts w:cs="Arial"/>
          <w:sz w:val="26"/>
          <w:szCs w:val="26"/>
        </w:rPr>
        <w:t xml:space="preserve">he DfE announced details of the High Needs Block funding formula which will apply from April 2018 and which will </w:t>
      </w:r>
      <w:r w:rsidRPr="005E14A1" w:rsidR="00331809">
        <w:rPr>
          <w:rFonts w:cs="Arial"/>
          <w:sz w:val="26"/>
          <w:szCs w:val="26"/>
        </w:rPr>
        <w:t xml:space="preserve">allocate funding </w:t>
      </w:r>
      <w:r w:rsidRPr="00253596" w:rsidR="00331809">
        <w:rPr>
          <w:rFonts w:cs="Arial"/>
          <w:sz w:val="26"/>
          <w:szCs w:val="26"/>
        </w:rPr>
        <w:t>to LAs</w:t>
      </w:r>
      <w:r w:rsidRPr="005E14A1" w:rsidR="00331809">
        <w:rPr>
          <w:rFonts w:cs="Arial"/>
          <w:sz w:val="26"/>
          <w:szCs w:val="26"/>
        </w:rPr>
        <w:t xml:space="preserve">: </w:t>
      </w:r>
      <w:r w:rsidR="008D4495">
        <w:rPr>
          <w:rFonts w:cs="Arial"/>
          <w:sz w:val="26"/>
          <w:szCs w:val="26"/>
        </w:rPr>
        <w:t>individual institutions</w:t>
      </w:r>
      <w:r w:rsidRPr="005E14A1" w:rsidR="00331809">
        <w:rPr>
          <w:rFonts w:cs="Arial"/>
          <w:sz w:val="26"/>
          <w:szCs w:val="26"/>
        </w:rPr>
        <w:t xml:space="preserve">’ allocations will </w:t>
      </w:r>
      <w:r>
        <w:rPr>
          <w:rFonts w:cs="Arial"/>
          <w:sz w:val="26"/>
          <w:szCs w:val="26"/>
        </w:rPr>
        <w:t xml:space="preserve">continue to </w:t>
      </w:r>
      <w:r w:rsidRPr="005E14A1" w:rsidR="00331809">
        <w:rPr>
          <w:rFonts w:cs="Arial"/>
          <w:sz w:val="26"/>
          <w:szCs w:val="26"/>
        </w:rPr>
        <w:t xml:space="preserve">be driven by local formulae. </w:t>
      </w:r>
    </w:p>
    <w:p w:rsidR="00B91286" w:rsidP="00B91286" w:rsidRDefault="00B91286">
      <w:pPr>
        <w:rPr>
          <w:rFonts w:cs="Arial"/>
          <w:sz w:val="26"/>
          <w:szCs w:val="26"/>
        </w:rPr>
      </w:pPr>
    </w:p>
    <w:p w:rsidRPr="004F69A6" w:rsidR="00B91286" w:rsidP="00B91286" w:rsidRDefault="0020093C">
      <w:pPr>
        <w:rPr>
          <w:rFonts w:cs="Arial"/>
          <w:sz w:val="26"/>
          <w:szCs w:val="26"/>
        </w:rPr>
      </w:pPr>
      <w:r w:rsidRPr="004F69A6">
        <w:rPr>
          <w:rFonts w:cs="Arial"/>
          <w:sz w:val="26"/>
          <w:szCs w:val="26"/>
        </w:rPr>
        <w:t xml:space="preserve">The High Needs Block has benefited from the additional £1.3 billion the government </w:t>
      </w:r>
      <w:r w:rsidRPr="004F69A6" w:rsidR="004F69A6">
        <w:rPr>
          <w:rFonts w:cs="Arial"/>
          <w:sz w:val="26"/>
          <w:szCs w:val="26"/>
        </w:rPr>
        <w:t xml:space="preserve">has </w:t>
      </w:r>
      <w:r w:rsidRPr="004F69A6">
        <w:rPr>
          <w:rFonts w:cs="Arial"/>
          <w:sz w:val="26"/>
          <w:szCs w:val="26"/>
        </w:rPr>
        <w:t xml:space="preserve">made available across 2018-19 and 2019-20. Local authorities will see gains of up to 3% per year in both years. No LA will lose funding in cash terms and will see minimum increases of 0.5% per head in 2018-19 and 1% in 2019-20 due to a more generous funding floor than was </w:t>
      </w:r>
      <w:r w:rsidRPr="004F69A6" w:rsidR="004F69A6">
        <w:rPr>
          <w:rFonts w:cs="Arial"/>
          <w:sz w:val="26"/>
          <w:szCs w:val="26"/>
        </w:rPr>
        <w:t xml:space="preserve">originally </w:t>
      </w:r>
      <w:r w:rsidRPr="004F69A6">
        <w:rPr>
          <w:rFonts w:cs="Arial"/>
          <w:sz w:val="26"/>
          <w:szCs w:val="26"/>
        </w:rPr>
        <w:t>proposed in December 2016.</w:t>
      </w:r>
    </w:p>
    <w:p w:rsidR="00B91286" w:rsidP="00B91286" w:rsidRDefault="00B91286">
      <w:pPr>
        <w:rPr>
          <w:rFonts w:cs="Arial"/>
          <w:sz w:val="26"/>
          <w:szCs w:val="26"/>
          <w:highlight w:val="yellow"/>
        </w:rPr>
      </w:pPr>
    </w:p>
    <w:p w:rsidRPr="005E14A1" w:rsidR="00331809" w:rsidP="00B91286" w:rsidRDefault="00067EF0">
      <w:pPr>
        <w:rPr>
          <w:rFonts w:cs="Arial"/>
          <w:sz w:val="26"/>
          <w:szCs w:val="26"/>
        </w:rPr>
      </w:pPr>
      <w:r w:rsidRPr="00B91286">
        <w:rPr>
          <w:rFonts w:cs="Arial"/>
          <w:sz w:val="26"/>
          <w:szCs w:val="26"/>
        </w:rPr>
        <w:t xml:space="preserve">A </w:t>
      </w:r>
      <w:r w:rsidR="0020093C">
        <w:rPr>
          <w:rFonts w:cs="Arial"/>
          <w:sz w:val="26"/>
          <w:szCs w:val="26"/>
        </w:rPr>
        <w:t>diagram</w:t>
      </w:r>
      <w:r w:rsidR="004F69A6">
        <w:rPr>
          <w:rFonts w:cs="Arial"/>
          <w:sz w:val="26"/>
          <w:szCs w:val="26"/>
        </w:rPr>
        <w:t xml:space="preserve">matic representation of </w:t>
      </w:r>
      <w:r w:rsidRPr="00B91286">
        <w:rPr>
          <w:rFonts w:cs="Arial"/>
          <w:sz w:val="26"/>
          <w:szCs w:val="26"/>
        </w:rPr>
        <w:t xml:space="preserve">the </w:t>
      </w:r>
      <w:r w:rsidR="0020093C">
        <w:rPr>
          <w:rFonts w:cs="Arial"/>
          <w:sz w:val="26"/>
          <w:szCs w:val="26"/>
        </w:rPr>
        <w:t xml:space="preserve">national </w:t>
      </w:r>
      <w:r w:rsidRPr="00B91286">
        <w:rPr>
          <w:rFonts w:cs="Arial"/>
          <w:sz w:val="26"/>
          <w:szCs w:val="26"/>
        </w:rPr>
        <w:t>formula is shown below:</w:t>
      </w:r>
    </w:p>
    <w:p w:rsidR="00331809" w:rsidP="00CE73DD" w:rsidRDefault="00331809">
      <w:pPr>
        <w:pStyle w:val="ListParagraph"/>
        <w:ind w:left="0"/>
        <w:rPr>
          <w:rFonts w:cs="Arial"/>
          <w:noProof/>
          <w:sz w:val="26"/>
          <w:szCs w:val="26"/>
          <w:lang w:eastAsia="en-GB"/>
        </w:rPr>
      </w:pPr>
    </w:p>
    <w:p w:rsidR="004807CF" w:rsidP="00CE73DD" w:rsidRDefault="00B91286">
      <w:pPr>
        <w:pStyle w:val="ListParagraph"/>
        <w:ind w:left="0"/>
        <w:rPr>
          <w:rFonts w:cs="Arial"/>
          <w:noProof/>
          <w:sz w:val="26"/>
          <w:szCs w:val="26"/>
          <w:lang w:eastAsia="en-GB"/>
        </w:rPr>
      </w:pPr>
      <w:r w:rsidRPr="00D70A8D">
        <w:rPr>
          <w:noProof/>
          <w:lang w:eastAsia="en-GB"/>
        </w:rPr>
        <w:drawing>
          <wp:inline distT="0" distB="0" distL="0" distR="0">
            <wp:extent cx="5927725" cy="227050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2948" cy="2276333"/>
                    </a:xfrm>
                    <a:prstGeom prst="rect">
                      <a:avLst/>
                    </a:prstGeom>
                    <a:noFill/>
                    <a:ln>
                      <a:noFill/>
                    </a:ln>
                  </pic:spPr>
                </pic:pic>
              </a:graphicData>
            </a:graphic>
          </wp:inline>
        </w:drawing>
      </w:r>
    </w:p>
    <w:p w:rsidR="004807CF" w:rsidP="00CE73DD" w:rsidRDefault="004807CF">
      <w:pPr>
        <w:pStyle w:val="ListParagraph"/>
        <w:ind w:left="0"/>
        <w:rPr>
          <w:rFonts w:cs="Arial"/>
          <w:noProof/>
          <w:sz w:val="26"/>
          <w:szCs w:val="26"/>
          <w:lang w:eastAsia="en-GB"/>
        </w:rPr>
      </w:pPr>
    </w:p>
    <w:p w:rsidR="00B04D7D" w:rsidP="00331809" w:rsidRDefault="004A581C">
      <w:pPr>
        <w:rPr>
          <w:rFonts w:cs="Arial"/>
          <w:sz w:val="26"/>
          <w:szCs w:val="26"/>
        </w:rPr>
      </w:pPr>
      <w:r>
        <w:rPr>
          <w:rFonts w:cs="Arial"/>
          <w:sz w:val="26"/>
          <w:szCs w:val="26"/>
        </w:rPr>
        <w:t xml:space="preserve">The </w:t>
      </w:r>
      <w:r w:rsidR="004F69A6">
        <w:rPr>
          <w:rFonts w:cs="Arial"/>
          <w:sz w:val="26"/>
          <w:szCs w:val="26"/>
        </w:rPr>
        <w:t>h</w:t>
      </w:r>
      <w:r>
        <w:rPr>
          <w:rFonts w:cs="Arial"/>
          <w:sz w:val="26"/>
          <w:szCs w:val="26"/>
        </w:rPr>
        <w:t xml:space="preserve">igh </w:t>
      </w:r>
      <w:r w:rsidR="004F69A6">
        <w:rPr>
          <w:rFonts w:cs="Arial"/>
          <w:sz w:val="26"/>
          <w:szCs w:val="26"/>
        </w:rPr>
        <w:t>n</w:t>
      </w:r>
      <w:r>
        <w:rPr>
          <w:rFonts w:cs="Arial"/>
          <w:sz w:val="26"/>
          <w:szCs w:val="26"/>
        </w:rPr>
        <w:t>eed</w:t>
      </w:r>
      <w:r w:rsidR="004F69A6">
        <w:rPr>
          <w:rFonts w:cs="Arial"/>
          <w:sz w:val="26"/>
          <w:szCs w:val="26"/>
        </w:rPr>
        <w:t>s f</w:t>
      </w:r>
      <w:r>
        <w:rPr>
          <w:rFonts w:cs="Arial"/>
          <w:sz w:val="26"/>
          <w:szCs w:val="26"/>
        </w:rPr>
        <w:t xml:space="preserve">ormula </w:t>
      </w:r>
      <w:r w:rsidR="00B91286">
        <w:rPr>
          <w:rFonts w:cs="Arial"/>
          <w:sz w:val="26"/>
          <w:szCs w:val="26"/>
        </w:rPr>
        <w:t>will allocate funding on the following basis</w:t>
      </w:r>
      <w:r>
        <w:rPr>
          <w:rFonts w:cs="Arial"/>
          <w:sz w:val="26"/>
          <w:szCs w:val="26"/>
        </w:rPr>
        <w:t>:</w:t>
      </w:r>
    </w:p>
    <w:p w:rsidR="00B91286" w:rsidP="00331809" w:rsidRDefault="00B91286">
      <w:pPr>
        <w:rPr>
          <w:rFonts w:cs="Arial"/>
          <w:sz w:val="26"/>
          <w:szCs w:val="26"/>
        </w:rPr>
      </w:pPr>
    </w:p>
    <w:p w:rsidRPr="004A581C" w:rsidR="0020093C" w:rsidP="0020093C" w:rsidRDefault="0020093C">
      <w:pPr>
        <w:pStyle w:val="Default"/>
        <w:rPr>
          <w:color w:val="auto"/>
          <w:sz w:val="26"/>
          <w:szCs w:val="26"/>
        </w:rPr>
      </w:pPr>
      <w:r w:rsidRPr="00A1688C">
        <w:rPr>
          <w:b/>
          <w:color w:val="auto"/>
          <w:sz w:val="26"/>
          <w:szCs w:val="26"/>
        </w:rPr>
        <w:t>Basic entitlement</w:t>
      </w:r>
      <w:r w:rsidRPr="004A581C">
        <w:rPr>
          <w:color w:val="auto"/>
          <w:sz w:val="26"/>
          <w:szCs w:val="26"/>
        </w:rPr>
        <w:t xml:space="preserve"> – a</w:t>
      </w:r>
      <w:r>
        <w:rPr>
          <w:color w:val="auto"/>
          <w:sz w:val="26"/>
          <w:szCs w:val="26"/>
        </w:rPr>
        <w:t xml:space="preserve">s originally proposed, a </w:t>
      </w:r>
      <w:r w:rsidRPr="004A581C">
        <w:rPr>
          <w:color w:val="auto"/>
          <w:sz w:val="26"/>
          <w:szCs w:val="26"/>
        </w:rPr>
        <w:t xml:space="preserve">flat rate </w:t>
      </w:r>
      <w:r w:rsidR="004F69A6">
        <w:rPr>
          <w:color w:val="auto"/>
          <w:sz w:val="26"/>
          <w:szCs w:val="26"/>
        </w:rPr>
        <w:t xml:space="preserve">of £4,000 </w:t>
      </w:r>
      <w:r w:rsidRPr="004A581C">
        <w:rPr>
          <w:color w:val="auto"/>
          <w:sz w:val="26"/>
          <w:szCs w:val="26"/>
        </w:rPr>
        <w:t xml:space="preserve">for each pupil in a special school or specialist post 16 institution, the rate mirrors what mainstream schools receive through the schools national funding formula for their pupils with high needs, and all institutions receive through the post-16 national funding formula. </w:t>
      </w:r>
    </w:p>
    <w:p w:rsidR="0020093C" w:rsidP="0020093C" w:rsidRDefault="0020093C">
      <w:pPr>
        <w:pStyle w:val="Default"/>
        <w:rPr>
          <w:color w:val="auto"/>
          <w:sz w:val="26"/>
          <w:szCs w:val="26"/>
        </w:rPr>
      </w:pPr>
    </w:p>
    <w:p w:rsidR="0020093C" w:rsidP="0020093C" w:rsidRDefault="0020093C">
      <w:pPr>
        <w:pStyle w:val="Default"/>
        <w:rPr>
          <w:color w:val="auto"/>
          <w:sz w:val="26"/>
          <w:szCs w:val="26"/>
        </w:rPr>
      </w:pPr>
      <w:r w:rsidRPr="00A1688C">
        <w:rPr>
          <w:b/>
          <w:color w:val="auto"/>
          <w:sz w:val="26"/>
          <w:szCs w:val="26"/>
        </w:rPr>
        <w:t>Historic spend</w:t>
      </w:r>
      <w:r>
        <w:rPr>
          <w:color w:val="auto"/>
          <w:sz w:val="26"/>
          <w:szCs w:val="26"/>
        </w:rPr>
        <w:t xml:space="preserve"> – around 50% of the quantum will be allocated on the basis of historic spend to ensure turbulence is manageable; the </w:t>
      </w:r>
      <w:r w:rsidR="004F69A6">
        <w:rPr>
          <w:color w:val="auto"/>
          <w:sz w:val="26"/>
          <w:szCs w:val="26"/>
        </w:rPr>
        <w:t xml:space="preserve">spending figures have been based on </w:t>
      </w:r>
      <w:r w:rsidR="004F69A6">
        <w:rPr>
          <w:color w:val="auto"/>
          <w:sz w:val="26"/>
          <w:szCs w:val="26"/>
        </w:rPr>
        <w:lastRenderedPageBreak/>
        <w:t>LAs</w:t>
      </w:r>
      <w:r w:rsidR="00253596">
        <w:rPr>
          <w:color w:val="auto"/>
          <w:sz w:val="26"/>
          <w:szCs w:val="26"/>
        </w:rPr>
        <w:t>’</w:t>
      </w:r>
      <w:r w:rsidR="004F69A6">
        <w:rPr>
          <w:color w:val="auto"/>
          <w:sz w:val="26"/>
          <w:szCs w:val="26"/>
        </w:rPr>
        <w:t xml:space="preserve"> planned spending in 2017-18. These hi</w:t>
      </w:r>
      <w:r>
        <w:rPr>
          <w:color w:val="auto"/>
          <w:sz w:val="26"/>
          <w:szCs w:val="26"/>
        </w:rPr>
        <w:t xml:space="preserve">storic allocations will remain as cash </w:t>
      </w:r>
      <w:r w:rsidR="004F69A6">
        <w:rPr>
          <w:color w:val="auto"/>
          <w:sz w:val="26"/>
          <w:szCs w:val="26"/>
        </w:rPr>
        <w:t>figures for 2019-20 and will not be updated using data from 2018-19</w:t>
      </w:r>
      <w:r>
        <w:rPr>
          <w:color w:val="auto"/>
          <w:sz w:val="26"/>
          <w:szCs w:val="26"/>
        </w:rPr>
        <w:t>.</w:t>
      </w:r>
    </w:p>
    <w:p w:rsidR="00B91286" w:rsidP="00331809" w:rsidRDefault="00B91286">
      <w:pPr>
        <w:rPr>
          <w:rFonts w:cs="Arial"/>
          <w:sz w:val="26"/>
          <w:szCs w:val="26"/>
        </w:rPr>
      </w:pPr>
    </w:p>
    <w:p w:rsidR="004F69A6" w:rsidP="00331809" w:rsidRDefault="0020093C">
      <w:pPr>
        <w:rPr>
          <w:rFonts w:cs="Arial"/>
          <w:sz w:val="26"/>
          <w:szCs w:val="26"/>
        </w:rPr>
      </w:pPr>
      <w:r w:rsidRPr="004F69A6">
        <w:rPr>
          <w:rFonts w:cs="Arial"/>
          <w:b/>
          <w:sz w:val="26"/>
          <w:szCs w:val="26"/>
        </w:rPr>
        <w:t>Proxy factors</w:t>
      </w:r>
      <w:r>
        <w:rPr>
          <w:rFonts w:cs="Arial"/>
          <w:sz w:val="26"/>
          <w:szCs w:val="26"/>
        </w:rPr>
        <w:t xml:space="preserve"> – the remaining funding will be allocated on the basis of population (50%), deprivation (20%), health and disability (15%) and low attainment (15%). </w:t>
      </w:r>
      <w:r w:rsidR="004F69A6">
        <w:rPr>
          <w:rFonts w:cs="Arial"/>
          <w:sz w:val="26"/>
          <w:szCs w:val="26"/>
        </w:rPr>
        <w:t xml:space="preserve">The percentages are as originally proposed as these generally received </w:t>
      </w:r>
      <w:r w:rsidR="00253596">
        <w:rPr>
          <w:rFonts w:cs="Arial"/>
          <w:sz w:val="26"/>
          <w:szCs w:val="26"/>
        </w:rPr>
        <w:t xml:space="preserve">a </w:t>
      </w:r>
      <w:r w:rsidR="004F69A6">
        <w:rPr>
          <w:rFonts w:cs="Arial"/>
          <w:sz w:val="26"/>
          <w:szCs w:val="26"/>
        </w:rPr>
        <w:t xml:space="preserve">good </w:t>
      </w:r>
      <w:r w:rsidR="00253596">
        <w:rPr>
          <w:rFonts w:cs="Arial"/>
          <w:sz w:val="26"/>
          <w:szCs w:val="26"/>
        </w:rPr>
        <w:t xml:space="preserve">level of </w:t>
      </w:r>
      <w:r w:rsidR="004F69A6">
        <w:rPr>
          <w:rFonts w:cs="Arial"/>
          <w:sz w:val="26"/>
          <w:szCs w:val="26"/>
        </w:rPr>
        <w:t xml:space="preserve">support from consultees. </w:t>
      </w:r>
    </w:p>
    <w:p w:rsidR="004F69A6" w:rsidP="00331809" w:rsidRDefault="004F69A6">
      <w:pPr>
        <w:rPr>
          <w:rFonts w:cs="Arial"/>
          <w:sz w:val="26"/>
          <w:szCs w:val="26"/>
        </w:rPr>
      </w:pPr>
    </w:p>
    <w:p w:rsidR="0020093C" w:rsidP="00331809" w:rsidRDefault="0020093C">
      <w:pPr>
        <w:rPr>
          <w:rFonts w:cs="Arial"/>
          <w:sz w:val="26"/>
          <w:szCs w:val="26"/>
        </w:rPr>
      </w:pPr>
      <w:r>
        <w:rPr>
          <w:rFonts w:cs="Arial"/>
          <w:sz w:val="26"/>
          <w:szCs w:val="26"/>
        </w:rPr>
        <w:t xml:space="preserve">The DfE table below </w:t>
      </w:r>
      <w:r w:rsidR="004F69A6">
        <w:rPr>
          <w:rFonts w:cs="Arial"/>
          <w:sz w:val="26"/>
          <w:szCs w:val="26"/>
        </w:rPr>
        <w:t>shows the data inputs and weightings for each formula factor.</w:t>
      </w:r>
    </w:p>
    <w:p w:rsidR="0020093C" w:rsidP="00331809" w:rsidRDefault="0020093C">
      <w:pPr>
        <w:rPr>
          <w:rFonts w:cs="Arial"/>
          <w:sz w:val="26"/>
          <w:szCs w:val="26"/>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89"/>
        <w:gridCol w:w="990"/>
        <w:gridCol w:w="1134"/>
        <w:gridCol w:w="1419"/>
        <w:gridCol w:w="3402"/>
      </w:tblGrid>
      <w:tr w:rsidRPr="00B23E09" w:rsidR="00B91286" w:rsidTr="00112C46">
        <w:tc>
          <w:tcPr>
            <w:tcW w:w="2689" w:type="dxa"/>
            <w:shd w:val="clear" w:color="auto" w:fill="auto"/>
          </w:tcPr>
          <w:p w:rsidRPr="00B23E09" w:rsidR="00B91286" w:rsidP="00721383" w:rsidRDefault="00B91286">
            <w:pPr>
              <w:rPr>
                <w:rFonts w:eastAsia="Calibri" w:cs="Arial"/>
                <w:b/>
                <w:sz w:val="22"/>
              </w:rPr>
            </w:pPr>
            <w:r w:rsidRPr="00B23E09">
              <w:rPr>
                <w:rFonts w:eastAsia="Calibri" w:cs="Arial"/>
                <w:b/>
                <w:sz w:val="22"/>
              </w:rPr>
              <w:t xml:space="preserve">Formula factor </w:t>
            </w:r>
          </w:p>
          <w:p w:rsidRPr="00B23E09" w:rsidR="00B91286" w:rsidP="00B91286" w:rsidRDefault="00B91286">
            <w:pPr>
              <w:rPr>
                <w:rFonts w:eastAsia="Calibri" w:cs="Arial"/>
                <w:b/>
                <w:sz w:val="22"/>
              </w:rPr>
            </w:pPr>
            <w:r w:rsidRPr="00B23E09">
              <w:rPr>
                <w:rFonts w:eastAsia="Calibri" w:cs="Arial"/>
                <w:b/>
                <w:sz w:val="22"/>
              </w:rPr>
              <w:t>(</w:t>
            </w:r>
            <w:r>
              <w:rPr>
                <w:rFonts w:eastAsia="Calibri" w:cs="Arial"/>
                <w:b/>
                <w:sz w:val="22"/>
              </w:rPr>
              <w:t>&amp;</w:t>
            </w:r>
            <w:r w:rsidRPr="00B23E09">
              <w:rPr>
                <w:rFonts w:eastAsia="Calibri" w:cs="Arial"/>
                <w:b/>
                <w:sz w:val="22"/>
              </w:rPr>
              <w:t xml:space="preserve"> amount distributed in 2018-19)</w:t>
            </w:r>
          </w:p>
        </w:tc>
        <w:tc>
          <w:tcPr>
            <w:tcW w:w="3543" w:type="dxa"/>
            <w:gridSpan w:val="3"/>
            <w:shd w:val="clear" w:color="auto" w:fill="auto"/>
          </w:tcPr>
          <w:p w:rsidRPr="00B23E09" w:rsidR="00B91286" w:rsidP="00721383" w:rsidRDefault="00B91286">
            <w:pPr>
              <w:jc w:val="center"/>
              <w:rPr>
                <w:rFonts w:eastAsia="Calibri" w:cs="Arial"/>
                <w:b/>
                <w:sz w:val="22"/>
              </w:rPr>
            </w:pPr>
            <w:r w:rsidRPr="00B23E09">
              <w:rPr>
                <w:rFonts w:eastAsia="Calibri" w:cs="Arial"/>
                <w:b/>
                <w:sz w:val="22"/>
              </w:rPr>
              <w:t>Weightings</w:t>
            </w:r>
          </w:p>
        </w:tc>
        <w:tc>
          <w:tcPr>
            <w:tcW w:w="3402" w:type="dxa"/>
            <w:shd w:val="clear" w:color="auto" w:fill="auto"/>
          </w:tcPr>
          <w:p w:rsidRPr="00B23E09" w:rsidR="00B91286" w:rsidP="00B91286" w:rsidRDefault="00B91286">
            <w:pPr>
              <w:autoSpaceDE w:val="0"/>
              <w:autoSpaceDN w:val="0"/>
              <w:adjustRightInd w:val="0"/>
              <w:rPr>
                <w:rFonts w:eastAsia="Calibri" w:cs="Arial"/>
                <w:color w:val="000000"/>
                <w:sz w:val="22"/>
              </w:rPr>
            </w:pPr>
            <w:r w:rsidRPr="00B23E09">
              <w:rPr>
                <w:rFonts w:eastAsia="Calibri" w:cs="Arial"/>
                <w:b/>
                <w:bCs/>
                <w:color w:val="000000"/>
                <w:sz w:val="22"/>
              </w:rPr>
              <w:t xml:space="preserve">Data used for allocations </w:t>
            </w:r>
          </w:p>
        </w:tc>
      </w:tr>
      <w:tr w:rsidRPr="00B23E09" w:rsidR="00B91286" w:rsidTr="00112C46">
        <w:tc>
          <w:tcPr>
            <w:tcW w:w="2689" w:type="dxa"/>
            <w:shd w:val="clear" w:color="auto" w:fill="auto"/>
          </w:tcPr>
          <w:p w:rsidRPr="00B23E09" w:rsidR="00B91286" w:rsidP="00721383" w:rsidRDefault="00B91286">
            <w:pPr>
              <w:rPr>
                <w:rFonts w:eastAsia="Calibri" w:cs="Arial"/>
                <w:b/>
                <w:sz w:val="22"/>
              </w:rPr>
            </w:pPr>
          </w:p>
        </w:tc>
        <w:tc>
          <w:tcPr>
            <w:tcW w:w="990" w:type="dxa"/>
            <w:shd w:val="clear" w:color="auto" w:fill="auto"/>
          </w:tcPr>
          <w:p w:rsidRPr="00B23E09" w:rsidR="00B91286" w:rsidP="00721383" w:rsidRDefault="00B91286">
            <w:pPr>
              <w:jc w:val="center"/>
              <w:rPr>
                <w:rFonts w:eastAsia="Calibri" w:cs="Arial"/>
                <w:b/>
                <w:sz w:val="22"/>
              </w:rPr>
            </w:pPr>
            <w:r w:rsidRPr="00B23E09">
              <w:rPr>
                <w:rFonts w:eastAsia="Calibri" w:cs="Arial"/>
                <w:b/>
                <w:sz w:val="22"/>
              </w:rPr>
              <w:t>SEN</w:t>
            </w:r>
          </w:p>
        </w:tc>
        <w:tc>
          <w:tcPr>
            <w:tcW w:w="1134" w:type="dxa"/>
            <w:shd w:val="clear" w:color="auto" w:fill="auto"/>
          </w:tcPr>
          <w:p w:rsidRPr="00B23E09" w:rsidR="00B91286" w:rsidP="00721383" w:rsidRDefault="00B91286">
            <w:pPr>
              <w:jc w:val="center"/>
              <w:rPr>
                <w:rFonts w:eastAsia="Calibri" w:cs="Arial"/>
                <w:b/>
                <w:sz w:val="22"/>
              </w:rPr>
            </w:pPr>
            <w:r w:rsidRPr="00B23E09">
              <w:rPr>
                <w:rFonts w:eastAsia="Calibri" w:cs="Arial"/>
                <w:b/>
                <w:sz w:val="22"/>
              </w:rPr>
              <w:t>AP</w:t>
            </w:r>
          </w:p>
        </w:tc>
        <w:tc>
          <w:tcPr>
            <w:tcW w:w="1419" w:type="dxa"/>
            <w:shd w:val="clear" w:color="auto" w:fill="auto"/>
          </w:tcPr>
          <w:p w:rsidRPr="00B23E09" w:rsidR="00B91286" w:rsidP="00721383" w:rsidRDefault="00B91286">
            <w:pPr>
              <w:jc w:val="center"/>
              <w:rPr>
                <w:rFonts w:eastAsia="Calibri" w:cs="Arial"/>
                <w:b/>
                <w:sz w:val="22"/>
              </w:rPr>
            </w:pPr>
            <w:r w:rsidRPr="00B23E09">
              <w:rPr>
                <w:rFonts w:eastAsia="Calibri" w:cs="Arial"/>
                <w:b/>
                <w:sz w:val="22"/>
              </w:rPr>
              <w:t>Combined</w:t>
            </w:r>
          </w:p>
        </w:tc>
        <w:tc>
          <w:tcPr>
            <w:tcW w:w="3402" w:type="dxa"/>
            <w:shd w:val="clear" w:color="auto" w:fill="auto"/>
          </w:tcPr>
          <w:p w:rsidRPr="00B23E09" w:rsidR="00B91286" w:rsidP="00721383" w:rsidRDefault="00B91286">
            <w:pPr>
              <w:rPr>
                <w:rFonts w:eastAsia="Calibri" w:cs="Arial"/>
                <w:b/>
                <w:sz w:val="22"/>
              </w:rPr>
            </w:pPr>
          </w:p>
        </w:tc>
      </w:tr>
      <w:tr w:rsidRPr="00B23E09" w:rsidR="00B91286" w:rsidTr="00112C46">
        <w:tc>
          <w:tcPr>
            <w:tcW w:w="2689" w:type="dxa"/>
            <w:shd w:val="clear" w:color="auto" w:fill="auto"/>
          </w:tcPr>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 xml:space="preserve">1. Population (£1.4 billion) </w:t>
            </w:r>
          </w:p>
        </w:tc>
        <w:tc>
          <w:tcPr>
            <w:tcW w:w="990"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50%</w:t>
            </w:r>
          </w:p>
        </w:tc>
        <w:tc>
          <w:tcPr>
            <w:tcW w:w="1134"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50%</w:t>
            </w:r>
          </w:p>
        </w:tc>
        <w:tc>
          <w:tcPr>
            <w:tcW w:w="1419"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50%</w:t>
            </w:r>
          </w:p>
        </w:tc>
        <w:tc>
          <w:tcPr>
            <w:tcW w:w="3402" w:type="dxa"/>
            <w:shd w:val="clear" w:color="auto" w:fill="auto"/>
          </w:tcPr>
          <w:p w:rsidRPr="00B23E09" w:rsidR="00B91286" w:rsidP="00721383" w:rsidRDefault="00B91286">
            <w:pPr>
              <w:rPr>
                <w:rFonts w:eastAsia="Calibri" w:cs="Arial"/>
                <w:sz w:val="22"/>
              </w:rPr>
            </w:pPr>
            <w:r w:rsidRPr="00B23E09">
              <w:rPr>
                <w:rFonts w:eastAsia="Calibri" w:cs="Arial"/>
                <w:sz w:val="22"/>
              </w:rPr>
              <w:t>2-18 population projections for 2018 from the Office for National Statistics (ONS)</w:t>
            </w:r>
          </w:p>
        </w:tc>
      </w:tr>
      <w:tr w:rsidRPr="00B23E09" w:rsidR="00B91286" w:rsidTr="00112C46">
        <w:tc>
          <w:tcPr>
            <w:tcW w:w="2689" w:type="dxa"/>
            <w:shd w:val="clear" w:color="auto" w:fill="auto"/>
          </w:tcPr>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 xml:space="preserve">2. Deprivation (£541 million) </w:t>
            </w:r>
          </w:p>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a. Free school meals (FSM) eligibility</w:t>
            </w:r>
          </w:p>
        </w:tc>
        <w:tc>
          <w:tcPr>
            <w:tcW w:w="990"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8.3%</w:t>
            </w:r>
          </w:p>
        </w:tc>
        <w:tc>
          <w:tcPr>
            <w:tcW w:w="1134"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25%</w:t>
            </w:r>
          </w:p>
        </w:tc>
        <w:tc>
          <w:tcPr>
            <w:tcW w:w="1419"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10%</w:t>
            </w:r>
          </w:p>
        </w:tc>
        <w:tc>
          <w:tcPr>
            <w:tcW w:w="3402" w:type="dxa"/>
            <w:shd w:val="clear" w:color="auto" w:fill="auto"/>
          </w:tcPr>
          <w:p w:rsidRPr="00B23E09" w:rsidR="00B91286" w:rsidP="00721383" w:rsidRDefault="00B91286">
            <w:pPr>
              <w:rPr>
                <w:rFonts w:eastAsia="Calibri" w:cs="Arial"/>
                <w:sz w:val="22"/>
              </w:rPr>
            </w:pPr>
            <w:r w:rsidRPr="00B23E09">
              <w:rPr>
                <w:rFonts w:eastAsia="Calibri" w:cs="Arial"/>
                <w:sz w:val="22"/>
              </w:rPr>
              <w:t>Number of children eligible for FSM as recorded in the January 2017 school census</w:t>
            </w:r>
          </w:p>
        </w:tc>
      </w:tr>
      <w:tr w:rsidRPr="00B23E09" w:rsidR="00B91286" w:rsidTr="00112C46">
        <w:tc>
          <w:tcPr>
            <w:tcW w:w="2689" w:type="dxa"/>
            <w:shd w:val="clear" w:color="auto" w:fill="auto"/>
          </w:tcPr>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b. Income deprivation affecting children index (IDACI)</w:t>
            </w:r>
          </w:p>
        </w:tc>
        <w:tc>
          <w:tcPr>
            <w:tcW w:w="990"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8.3%</w:t>
            </w:r>
          </w:p>
        </w:tc>
        <w:tc>
          <w:tcPr>
            <w:tcW w:w="1134"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25%</w:t>
            </w:r>
          </w:p>
        </w:tc>
        <w:tc>
          <w:tcPr>
            <w:tcW w:w="1419"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10%</w:t>
            </w:r>
          </w:p>
        </w:tc>
        <w:tc>
          <w:tcPr>
            <w:tcW w:w="3402" w:type="dxa"/>
            <w:shd w:val="clear" w:color="auto" w:fill="auto"/>
          </w:tcPr>
          <w:p w:rsidRPr="00B23E09" w:rsidR="00B91286" w:rsidP="00721383" w:rsidRDefault="00B91286">
            <w:pPr>
              <w:rPr>
                <w:rFonts w:eastAsia="Calibri" w:cs="Arial"/>
                <w:sz w:val="22"/>
              </w:rPr>
            </w:pPr>
            <w:r w:rsidRPr="00B23E09">
              <w:rPr>
                <w:rFonts w:eastAsia="Calibri" w:cs="Arial"/>
                <w:sz w:val="22"/>
              </w:rPr>
              <w:t>Number of children in bands A-F, using 2014 ONS population estimates</w:t>
            </w:r>
          </w:p>
        </w:tc>
      </w:tr>
      <w:tr w:rsidRPr="00B23E09" w:rsidR="00B91286" w:rsidTr="00112C46">
        <w:tc>
          <w:tcPr>
            <w:tcW w:w="2689" w:type="dxa"/>
            <w:shd w:val="clear" w:color="auto" w:fill="auto"/>
          </w:tcPr>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 xml:space="preserve">3. Low attainment (£406 million) </w:t>
            </w:r>
          </w:p>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a. Key stage 2 (KS2) results</w:t>
            </w:r>
          </w:p>
        </w:tc>
        <w:tc>
          <w:tcPr>
            <w:tcW w:w="990"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8.3%</w:t>
            </w:r>
          </w:p>
        </w:tc>
        <w:tc>
          <w:tcPr>
            <w:tcW w:w="1134"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0%</w:t>
            </w:r>
          </w:p>
        </w:tc>
        <w:tc>
          <w:tcPr>
            <w:tcW w:w="1419"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7.5%</w:t>
            </w:r>
          </w:p>
        </w:tc>
        <w:tc>
          <w:tcPr>
            <w:tcW w:w="3402" w:type="dxa"/>
            <w:shd w:val="clear" w:color="auto" w:fill="auto"/>
          </w:tcPr>
          <w:p w:rsidRPr="00B23E09" w:rsidR="00B91286" w:rsidP="00721383" w:rsidRDefault="00B91286">
            <w:pPr>
              <w:rPr>
                <w:rFonts w:eastAsia="Calibri" w:cs="Arial"/>
                <w:sz w:val="22"/>
              </w:rPr>
            </w:pPr>
            <w:r w:rsidRPr="00B23E09">
              <w:rPr>
                <w:rFonts w:eastAsia="Calibri" w:cs="Arial"/>
                <w:sz w:val="22"/>
              </w:rPr>
              <w:t>Number of children not achieving level 3 or above in KS2 tests in 2012-15 and not attaining a scaled score in 2016</w:t>
            </w:r>
          </w:p>
        </w:tc>
      </w:tr>
      <w:tr w:rsidRPr="00B23E09" w:rsidR="00B91286" w:rsidTr="00112C46">
        <w:tc>
          <w:tcPr>
            <w:tcW w:w="2689" w:type="dxa"/>
            <w:shd w:val="clear" w:color="auto" w:fill="auto"/>
          </w:tcPr>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b. Key stage 4 results</w:t>
            </w:r>
          </w:p>
        </w:tc>
        <w:tc>
          <w:tcPr>
            <w:tcW w:w="990"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8.3%</w:t>
            </w:r>
          </w:p>
        </w:tc>
        <w:tc>
          <w:tcPr>
            <w:tcW w:w="1134"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0%</w:t>
            </w:r>
          </w:p>
        </w:tc>
        <w:tc>
          <w:tcPr>
            <w:tcW w:w="1419"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7.5%</w:t>
            </w:r>
          </w:p>
        </w:tc>
        <w:tc>
          <w:tcPr>
            <w:tcW w:w="3402" w:type="dxa"/>
            <w:shd w:val="clear" w:color="auto" w:fill="auto"/>
          </w:tcPr>
          <w:p w:rsidRPr="00B23E09" w:rsidR="00B91286" w:rsidP="00721383" w:rsidRDefault="00B91286">
            <w:pPr>
              <w:rPr>
                <w:rFonts w:eastAsia="Calibri" w:cs="Arial"/>
                <w:sz w:val="22"/>
              </w:rPr>
            </w:pPr>
            <w:r w:rsidRPr="00B23E09">
              <w:rPr>
                <w:rFonts w:eastAsia="Calibri" w:cs="Arial"/>
                <w:sz w:val="22"/>
              </w:rPr>
              <w:t>Number of children not achieving 5+ A* to G GCSEs in 2012-16</w:t>
            </w:r>
          </w:p>
        </w:tc>
      </w:tr>
      <w:tr w:rsidRPr="00B23E09" w:rsidR="00B91286" w:rsidTr="00112C46">
        <w:tc>
          <w:tcPr>
            <w:tcW w:w="2689" w:type="dxa"/>
            <w:shd w:val="clear" w:color="auto" w:fill="auto"/>
          </w:tcPr>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 xml:space="preserve">4. Health and disability (£406 million) </w:t>
            </w:r>
          </w:p>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a. Children in bad health</w:t>
            </w:r>
          </w:p>
        </w:tc>
        <w:tc>
          <w:tcPr>
            <w:tcW w:w="990"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8.3%</w:t>
            </w:r>
          </w:p>
        </w:tc>
        <w:tc>
          <w:tcPr>
            <w:tcW w:w="1134"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0%</w:t>
            </w:r>
          </w:p>
        </w:tc>
        <w:tc>
          <w:tcPr>
            <w:tcW w:w="1419"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7.5%</w:t>
            </w:r>
          </w:p>
        </w:tc>
        <w:tc>
          <w:tcPr>
            <w:tcW w:w="3402" w:type="dxa"/>
            <w:shd w:val="clear" w:color="auto" w:fill="auto"/>
          </w:tcPr>
          <w:p w:rsidRPr="00B23E09" w:rsidR="00B91286" w:rsidP="00721383" w:rsidRDefault="00B91286">
            <w:pPr>
              <w:rPr>
                <w:rFonts w:eastAsia="Calibri" w:cs="Arial"/>
                <w:sz w:val="22"/>
              </w:rPr>
            </w:pPr>
            <w:r w:rsidRPr="00B23E09">
              <w:rPr>
                <w:rFonts w:eastAsia="Calibri" w:cs="Arial"/>
                <w:sz w:val="22"/>
              </w:rPr>
              <w:t>Number of children and young people in bad or very bad health, as reported in the 2011 population census</w:t>
            </w:r>
          </w:p>
        </w:tc>
      </w:tr>
      <w:tr w:rsidRPr="00B23E09" w:rsidR="00B91286" w:rsidTr="00112C46">
        <w:tc>
          <w:tcPr>
            <w:tcW w:w="2689" w:type="dxa"/>
            <w:shd w:val="clear" w:color="auto" w:fill="auto"/>
          </w:tcPr>
          <w:p w:rsidRPr="00B23E09" w:rsidR="00B91286" w:rsidP="00721383" w:rsidRDefault="00B91286">
            <w:pPr>
              <w:autoSpaceDE w:val="0"/>
              <w:autoSpaceDN w:val="0"/>
              <w:adjustRightInd w:val="0"/>
              <w:rPr>
                <w:rFonts w:eastAsia="Calibri" w:cs="Arial"/>
                <w:color w:val="000000"/>
                <w:sz w:val="22"/>
              </w:rPr>
            </w:pPr>
            <w:r w:rsidRPr="00B23E09">
              <w:rPr>
                <w:rFonts w:eastAsia="Calibri" w:cs="Arial"/>
                <w:color w:val="000000"/>
                <w:sz w:val="22"/>
              </w:rPr>
              <w:t>b. Disability living allowance (DLA)</w:t>
            </w:r>
          </w:p>
        </w:tc>
        <w:tc>
          <w:tcPr>
            <w:tcW w:w="990"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8.3%</w:t>
            </w:r>
          </w:p>
        </w:tc>
        <w:tc>
          <w:tcPr>
            <w:tcW w:w="1134"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0%</w:t>
            </w:r>
          </w:p>
        </w:tc>
        <w:tc>
          <w:tcPr>
            <w:tcW w:w="1419" w:type="dxa"/>
            <w:shd w:val="clear" w:color="auto" w:fill="auto"/>
          </w:tcPr>
          <w:p w:rsidRPr="00B23E09" w:rsidR="00B91286" w:rsidP="00721383" w:rsidRDefault="00B91286">
            <w:pPr>
              <w:jc w:val="center"/>
              <w:rPr>
                <w:rFonts w:eastAsia="Calibri" w:cs="Arial"/>
                <w:sz w:val="22"/>
              </w:rPr>
            </w:pPr>
            <w:r w:rsidRPr="00B23E09">
              <w:rPr>
                <w:rFonts w:eastAsia="Calibri" w:cs="Arial"/>
                <w:sz w:val="22"/>
              </w:rPr>
              <w:t>7.5%</w:t>
            </w:r>
          </w:p>
        </w:tc>
        <w:tc>
          <w:tcPr>
            <w:tcW w:w="3402" w:type="dxa"/>
            <w:shd w:val="clear" w:color="auto" w:fill="auto"/>
          </w:tcPr>
          <w:p w:rsidRPr="00B23E09" w:rsidR="00B91286" w:rsidP="00721383" w:rsidRDefault="00B91286">
            <w:pPr>
              <w:rPr>
                <w:rFonts w:eastAsia="Calibri" w:cs="Arial"/>
                <w:sz w:val="22"/>
              </w:rPr>
            </w:pPr>
            <w:r w:rsidRPr="00B23E09">
              <w:rPr>
                <w:rFonts w:eastAsia="Calibri" w:cs="Arial"/>
                <w:sz w:val="22"/>
              </w:rPr>
              <w:t>Number of children aged 0-16 for whom parents receive DLA as at November 2016</w:t>
            </w:r>
          </w:p>
        </w:tc>
      </w:tr>
    </w:tbl>
    <w:p w:rsidR="00B91286" w:rsidP="00331809" w:rsidRDefault="00B91286">
      <w:pPr>
        <w:rPr>
          <w:rFonts w:cs="Arial"/>
          <w:sz w:val="26"/>
          <w:szCs w:val="26"/>
        </w:rPr>
      </w:pPr>
    </w:p>
    <w:p w:rsidR="00C97EC5" w:rsidP="004B4AD9" w:rsidRDefault="00CD2747">
      <w:pPr>
        <w:pStyle w:val="Default"/>
        <w:rPr>
          <w:color w:val="auto"/>
          <w:sz w:val="26"/>
          <w:szCs w:val="26"/>
        </w:rPr>
      </w:pPr>
      <w:r>
        <w:rPr>
          <w:color w:val="auto"/>
          <w:sz w:val="26"/>
          <w:szCs w:val="26"/>
        </w:rPr>
        <w:t>T</w:t>
      </w:r>
      <w:r w:rsidR="00C97EC5">
        <w:rPr>
          <w:color w:val="auto"/>
          <w:sz w:val="26"/>
          <w:szCs w:val="26"/>
        </w:rPr>
        <w:t xml:space="preserve">here will be an Area Cost Adjustment </w:t>
      </w:r>
      <w:r w:rsidR="00A1688C">
        <w:rPr>
          <w:color w:val="auto"/>
          <w:sz w:val="26"/>
          <w:szCs w:val="26"/>
        </w:rPr>
        <w:t xml:space="preserve">(ACA) </w:t>
      </w:r>
      <w:r w:rsidR="008D4495">
        <w:rPr>
          <w:color w:val="auto"/>
          <w:sz w:val="26"/>
          <w:szCs w:val="26"/>
        </w:rPr>
        <w:t xml:space="preserve">to </w:t>
      </w:r>
      <w:r w:rsidR="00C97EC5">
        <w:rPr>
          <w:color w:val="auto"/>
          <w:sz w:val="26"/>
          <w:szCs w:val="26"/>
        </w:rPr>
        <w:t>recognise the higher costs that some LA</w:t>
      </w:r>
      <w:r w:rsidR="00A1688C">
        <w:rPr>
          <w:color w:val="auto"/>
          <w:sz w:val="26"/>
          <w:szCs w:val="26"/>
        </w:rPr>
        <w:t>s</w:t>
      </w:r>
      <w:r w:rsidR="00C97EC5">
        <w:rPr>
          <w:color w:val="auto"/>
          <w:sz w:val="26"/>
          <w:szCs w:val="26"/>
        </w:rPr>
        <w:t xml:space="preserve"> in the south</w:t>
      </w:r>
      <w:r w:rsidR="00EC125A">
        <w:rPr>
          <w:color w:val="auto"/>
          <w:sz w:val="26"/>
          <w:szCs w:val="26"/>
        </w:rPr>
        <w:t xml:space="preserve"> of the country </w:t>
      </w:r>
      <w:r w:rsidR="00C97EC5">
        <w:rPr>
          <w:color w:val="auto"/>
          <w:sz w:val="26"/>
          <w:szCs w:val="26"/>
        </w:rPr>
        <w:t>face.</w:t>
      </w:r>
      <w:r w:rsidRPr="00C97EC5" w:rsidR="00C97EC5">
        <w:rPr>
          <w:color w:val="auto"/>
          <w:sz w:val="26"/>
          <w:szCs w:val="26"/>
        </w:rPr>
        <w:t xml:space="preserve"> </w:t>
      </w:r>
      <w:r w:rsidR="004B4AD9">
        <w:rPr>
          <w:color w:val="auto"/>
          <w:sz w:val="26"/>
          <w:szCs w:val="26"/>
        </w:rPr>
        <w:t xml:space="preserve">The ACA will use a </w:t>
      </w:r>
      <w:r w:rsidR="00A1688C">
        <w:rPr>
          <w:color w:val="auto"/>
          <w:sz w:val="26"/>
          <w:szCs w:val="26"/>
        </w:rPr>
        <w:t>“</w:t>
      </w:r>
      <w:r w:rsidR="004B4AD9">
        <w:rPr>
          <w:color w:val="auto"/>
          <w:sz w:val="26"/>
          <w:szCs w:val="26"/>
        </w:rPr>
        <w:t>hybrid</w:t>
      </w:r>
      <w:r w:rsidR="00A1688C">
        <w:rPr>
          <w:color w:val="auto"/>
          <w:sz w:val="26"/>
          <w:szCs w:val="26"/>
        </w:rPr>
        <w:t>”</w:t>
      </w:r>
      <w:r w:rsidR="004B4AD9">
        <w:rPr>
          <w:color w:val="auto"/>
          <w:sz w:val="26"/>
          <w:szCs w:val="26"/>
        </w:rPr>
        <w:t xml:space="preserve"> model </w:t>
      </w:r>
      <w:r w:rsidR="00CD5406">
        <w:rPr>
          <w:color w:val="auto"/>
          <w:sz w:val="26"/>
          <w:szCs w:val="26"/>
        </w:rPr>
        <w:t xml:space="preserve">that </w:t>
      </w:r>
      <w:r w:rsidRPr="00C97EC5" w:rsidR="00C97EC5">
        <w:rPr>
          <w:color w:val="auto"/>
          <w:sz w:val="26"/>
          <w:szCs w:val="26"/>
        </w:rPr>
        <w:t xml:space="preserve">takes into account general labour market trends, but </w:t>
      </w:r>
      <w:r w:rsidR="006865E7">
        <w:rPr>
          <w:color w:val="auto"/>
          <w:sz w:val="26"/>
          <w:szCs w:val="26"/>
        </w:rPr>
        <w:t xml:space="preserve">will </w:t>
      </w:r>
      <w:r w:rsidRPr="00C97EC5" w:rsidR="00C97EC5">
        <w:rPr>
          <w:color w:val="auto"/>
          <w:sz w:val="26"/>
          <w:szCs w:val="26"/>
        </w:rPr>
        <w:t xml:space="preserve">also </w:t>
      </w:r>
      <w:r w:rsidR="006865E7">
        <w:rPr>
          <w:color w:val="auto"/>
          <w:sz w:val="26"/>
          <w:szCs w:val="26"/>
        </w:rPr>
        <w:t xml:space="preserve">reflect </w:t>
      </w:r>
      <w:r w:rsidRPr="00C97EC5" w:rsidR="00C97EC5">
        <w:rPr>
          <w:color w:val="auto"/>
          <w:sz w:val="26"/>
          <w:szCs w:val="26"/>
        </w:rPr>
        <w:t>the particular salary variat</w:t>
      </w:r>
      <w:r w:rsidR="004626CC">
        <w:rPr>
          <w:color w:val="auto"/>
          <w:sz w:val="26"/>
          <w:szCs w:val="26"/>
        </w:rPr>
        <w:t>ions in the teaching workforce</w:t>
      </w:r>
      <w:r w:rsidR="00253596">
        <w:rPr>
          <w:color w:val="auto"/>
          <w:sz w:val="26"/>
          <w:szCs w:val="26"/>
        </w:rPr>
        <w:t xml:space="preserve"> an</w:t>
      </w:r>
      <w:r w:rsidR="004626CC">
        <w:rPr>
          <w:color w:val="auto"/>
          <w:sz w:val="26"/>
          <w:szCs w:val="26"/>
        </w:rPr>
        <w:t>d will use data specific to special schools.</w:t>
      </w:r>
    </w:p>
    <w:p w:rsidR="00112C46" w:rsidP="004B4AD9" w:rsidRDefault="00112C46">
      <w:pPr>
        <w:pStyle w:val="Default"/>
        <w:rPr>
          <w:color w:val="auto"/>
          <w:sz w:val="26"/>
          <w:szCs w:val="26"/>
        </w:rPr>
      </w:pPr>
    </w:p>
    <w:p w:rsidR="00591AE2" w:rsidP="004B4AD9" w:rsidRDefault="009B5F13">
      <w:pPr>
        <w:pStyle w:val="Default"/>
        <w:rPr>
          <w:color w:val="auto"/>
          <w:sz w:val="26"/>
          <w:szCs w:val="26"/>
        </w:rPr>
      </w:pPr>
      <w:r>
        <w:rPr>
          <w:color w:val="auto"/>
          <w:sz w:val="26"/>
          <w:szCs w:val="26"/>
        </w:rPr>
        <w:t>One of the concerns expressed in the consultation related to population growth and how increases in the number of children and young people with high needs would be reflected in the formula, particularly for LAs such as Derbyshire where their funding is protected by the funding floor.  In response to these concerns the DfE intend to calculate the funding floor on a per-head basis to ensure that LAs with growing populations receive extra funding.</w:t>
      </w:r>
    </w:p>
    <w:p w:rsidR="00112C46" w:rsidP="004B4AD9" w:rsidRDefault="00112C46">
      <w:pPr>
        <w:pStyle w:val="Default"/>
        <w:rPr>
          <w:color w:val="auto"/>
          <w:sz w:val="26"/>
          <w:szCs w:val="26"/>
        </w:rPr>
      </w:pPr>
    </w:p>
    <w:p w:rsidR="00112C46" w:rsidP="004B4AD9" w:rsidRDefault="00112C46">
      <w:pPr>
        <w:pStyle w:val="Default"/>
        <w:rPr>
          <w:color w:val="auto"/>
          <w:sz w:val="26"/>
          <w:szCs w:val="26"/>
        </w:rPr>
      </w:pPr>
    </w:p>
    <w:p w:rsidR="00112C46" w:rsidP="004B4AD9" w:rsidRDefault="00112C46">
      <w:pPr>
        <w:pStyle w:val="Default"/>
        <w:rPr>
          <w:color w:val="auto"/>
          <w:sz w:val="26"/>
          <w:szCs w:val="26"/>
        </w:rPr>
      </w:pPr>
    </w:p>
    <w:p w:rsidR="00112C46" w:rsidP="004B4AD9" w:rsidRDefault="00112C46">
      <w:pPr>
        <w:pStyle w:val="Default"/>
        <w:rPr>
          <w:color w:val="auto"/>
          <w:sz w:val="26"/>
          <w:szCs w:val="26"/>
        </w:rPr>
      </w:pPr>
      <w:bookmarkStart w:name="_GoBack" w:id="0"/>
      <w:bookmarkEnd w:id="0"/>
    </w:p>
    <w:p w:rsidRPr="00B04D7D" w:rsidR="00B04D7D" w:rsidP="00331809" w:rsidRDefault="00B04D7D">
      <w:pPr>
        <w:rPr>
          <w:rFonts w:cs="Arial"/>
          <w:b/>
          <w:sz w:val="26"/>
          <w:szCs w:val="26"/>
          <w:u w:val="single"/>
        </w:rPr>
      </w:pPr>
      <w:r w:rsidRPr="00B04D7D">
        <w:rPr>
          <w:rFonts w:cs="Arial"/>
          <w:b/>
          <w:sz w:val="26"/>
          <w:szCs w:val="26"/>
        </w:rPr>
        <w:lastRenderedPageBreak/>
        <w:t>2.2</w:t>
      </w:r>
      <w:r w:rsidRPr="00B04D7D">
        <w:rPr>
          <w:rFonts w:cs="Arial"/>
          <w:b/>
          <w:sz w:val="26"/>
          <w:szCs w:val="26"/>
        </w:rPr>
        <w:tab/>
      </w:r>
      <w:r w:rsidR="00085488">
        <w:rPr>
          <w:rFonts w:cs="Arial"/>
          <w:b/>
          <w:sz w:val="26"/>
          <w:szCs w:val="26"/>
          <w:u w:val="single"/>
        </w:rPr>
        <w:t xml:space="preserve">Financial </w:t>
      </w:r>
      <w:r w:rsidRPr="00B04D7D" w:rsidR="00085488">
        <w:rPr>
          <w:rFonts w:cs="Arial"/>
          <w:b/>
          <w:sz w:val="26"/>
          <w:szCs w:val="26"/>
          <w:u w:val="single"/>
        </w:rPr>
        <w:t>impact</w:t>
      </w:r>
      <w:r w:rsidRPr="00B04D7D">
        <w:rPr>
          <w:rFonts w:cs="Arial"/>
          <w:b/>
          <w:sz w:val="26"/>
          <w:szCs w:val="26"/>
          <w:u w:val="single"/>
        </w:rPr>
        <w:t xml:space="preserve"> on Derbyshire</w:t>
      </w:r>
    </w:p>
    <w:p w:rsidR="00B04D7D" w:rsidP="00331809" w:rsidRDefault="00B04D7D">
      <w:pPr>
        <w:rPr>
          <w:rFonts w:cs="Arial"/>
          <w:sz w:val="26"/>
          <w:szCs w:val="26"/>
        </w:rPr>
      </w:pPr>
    </w:p>
    <w:p w:rsidR="00DA3B02" w:rsidP="00EC3F61" w:rsidRDefault="00DA3B02">
      <w:pPr>
        <w:rPr>
          <w:rFonts w:cs="Arial"/>
          <w:sz w:val="26"/>
          <w:szCs w:val="26"/>
        </w:rPr>
      </w:pPr>
      <w:r>
        <w:rPr>
          <w:rFonts w:cs="Arial"/>
          <w:sz w:val="26"/>
          <w:szCs w:val="26"/>
        </w:rPr>
        <w:t>An analysis of Derbyshire’s indicative HNB allocation is provided at Appendix 1. Most of the allocations are confirmed</w:t>
      </w:r>
      <w:r w:rsidR="00582D17">
        <w:rPr>
          <w:rFonts w:cs="Arial"/>
          <w:sz w:val="26"/>
          <w:szCs w:val="26"/>
        </w:rPr>
        <w:t xml:space="preserve">, </w:t>
      </w:r>
      <w:r>
        <w:rPr>
          <w:rFonts w:cs="Arial"/>
          <w:sz w:val="26"/>
          <w:szCs w:val="26"/>
        </w:rPr>
        <w:t>however the hospital education and import/</w:t>
      </w:r>
      <w:r w:rsidR="00582D17">
        <w:rPr>
          <w:rFonts w:cs="Arial"/>
          <w:sz w:val="26"/>
          <w:szCs w:val="26"/>
        </w:rPr>
        <w:t xml:space="preserve"> </w:t>
      </w:r>
      <w:r>
        <w:rPr>
          <w:rFonts w:cs="Arial"/>
          <w:sz w:val="26"/>
          <w:szCs w:val="26"/>
        </w:rPr>
        <w:t>export adjustment will be refined by the DfE either later this year or in January 2018</w:t>
      </w:r>
      <w:r w:rsidR="00253596">
        <w:rPr>
          <w:rFonts w:cs="Arial"/>
          <w:sz w:val="26"/>
          <w:szCs w:val="26"/>
        </w:rPr>
        <w:t xml:space="preserve"> in the light of updated information</w:t>
      </w:r>
      <w:r>
        <w:rPr>
          <w:rFonts w:cs="Arial"/>
          <w:sz w:val="26"/>
          <w:szCs w:val="26"/>
        </w:rPr>
        <w:t>.</w:t>
      </w:r>
      <w:r w:rsidR="00253596">
        <w:rPr>
          <w:rFonts w:cs="Arial"/>
          <w:sz w:val="26"/>
          <w:szCs w:val="26"/>
        </w:rPr>
        <w:t xml:space="preserve">  </w:t>
      </w:r>
      <w:r w:rsidR="00582D17">
        <w:rPr>
          <w:rFonts w:cs="Arial"/>
          <w:sz w:val="26"/>
          <w:szCs w:val="26"/>
        </w:rPr>
        <w:t xml:space="preserve">On a like for like basis the net increase </w:t>
      </w:r>
      <w:r w:rsidR="00A47951">
        <w:rPr>
          <w:rFonts w:cs="Arial"/>
          <w:sz w:val="26"/>
          <w:szCs w:val="26"/>
        </w:rPr>
        <w:t xml:space="preserve">in funding </w:t>
      </w:r>
      <w:r w:rsidR="00582D17">
        <w:rPr>
          <w:rFonts w:cs="Arial"/>
          <w:sz w:val="26"/>
          <w:szCs w:val="26"/>
        </w:rPr>
        <w:t>is £0.218m, equivalent to 0.32% of the overall high needs block.</w:t>
      </w:r>
    </w:p>
    <w:p w:rsidR="00DA3B02" w:rsidP="00EC3F61" w:rsidRDefault="00DA3B02">
      <w:pPr>
        <w:rPr>
          <w:rFonts w:cs="Arial"/>
          <w:sz w:val="26"/>
          <w:szCs w:val="26"/>
        </w:rPr>
      </w:pPr>
    </w:p>
    <w:p w:rsidR="003E0B26" w:rsidP="003E0B26" w:rsidRDefault="00582D17">
      <w:pPr>
        <w:rPr>
          <w:rFonts w:cs="Arial"/>
          <w:sz w:val="26"/>
          <w:szCs w:val="26"/>
        </w:rPr>
      </w:pPr>
      <w:r w:rsidRPr="00582D17">
        <w:rPr>
          <w:rFonts w:cs="Arial"/>
          <w:sz w:val="26"/>
          <w:szCs w:val="26"/>
        </w:rPr>
        <w:t xml:space="preserve">Many of the individual formula multipliers </w:t>
      </w:r>
      <w:r w:rsidR="00253596">
        <w:rPr>
          <w:rFonts w:cs="Arial"/>
          <w:sz w:val="26"/>
          <w:szCs w:val="26"/>
        </w:rPr>
        <w:t xml:space="preserve">announced in September </w:t>
      </w:r>
      <w:r w:rsidRPr="00582D17">
        <w:rPr>
          <w:rFonts w:cs="Arial"/>
          <w:sz w:val="26"/>
          <w:szCs w:val="26"/>
        </w:rPr>
        <w:t xml:space="preserve">are higher than in the December 2016 </w:t>
      </w:r>
      <w:r>
        <w:rPr>
          <w:rFonts w:cs="Arial"/>
          <w:sz w:val="26"/>
          <w:szCs w:val="26"/>
        </w:rPr>
        <w:t>consultation proposals, and these increases</w:t>
      </w:r>
      <w:r w:rsidR="00253596">
        <w:rPr>
          <w:rFonts w:cs="Arial"/>
          <w:sz w:val="26"/>
          <w:szCs w:val="26"/>
        </w:rPr>
        <w:t xml:space="preserve">, </w:t>
      </w:r>
      <w:r>
        <w:rPr>
          <w:rFonts w:cs="Arial"/>
          <w:sz w:val="26"/>
          <w:szCs w:val="26"/>
        </w:rPr>
        <w:t xml:space="preserve">coupled with data changes, have had the effect of reducing </w:t>
      </w:r>
      <w:r w:rsidRPr="00582D17" w:rsidR="00331809">
        <w:rPr>
          <w:rFonts w:cs="Arial"/>
          <w:sz w:val="26"/>
          <w:szCs w:val="26"/>
        </w:rPr>
        <w:t xml:space="preserve">Derbyshire’s </w:t>
      </w:r>
      <w:r>
        <w:rPr>
          <w:rFonts w:cs="Arial"/>
          <w:sz w:val="26"/>
          <w:szCs w:val="26"/>
        </w:rPr>
        <w:t xml:space="preserve">floor protection from </w:t>
      </w:r>
      <w:r w:rsidRPr="00582D17" w:rsidR="00695953">
        <w:rPr>
          <w:rFonts w:cs="Arial"/>
          <w:sz w:val="26"/>
          <w:szCs w:val="26"/>
        </w:rPr>
        <w:t>£1.722m</w:t>
      </w:r>
      <w:r>
        <w:rPr>
          <w:rFonts w:cs="Arial"/>
          <w:sz w:val="26"/>
          <w:szCs w:val="26"/>
        </w:rPr>
        <w:t xml:space="preserve"> to £0.623m</w:t>
      </w:r>
      <w:r w:rsidR="003E0B26">
        <w:rPr>
          <w:rFonts w:cs="Arial"/>
          <w:sz w:val="26"/>
          <w:szCs w:val="26"/>
        </w:rPr>
        <w:t xml:space="preserve">, around 0.92% of the total </w:t>
      </w:r>
      <w:r w:rsidR="00253596">
        <w:rPr>
          <w:rFonts w:cs="Arial"/>
          <w:sz w:val="26"/>
          <w:szCs w:val="26"/>
        </w:rPr>
        <w:t xml:space="preserve">high needs block </w:t>
      </w:r>
      <w:r w:rsidR="003E0B26">
        <w:rPr>
          <w:rFonts w:cs="Arial"/>
          <w:sz w:val="26"/>
          <w:szCs w:val="26"/>
        </w:rPr>
        <w:t>funding</w:t>
      </w:r>
      <w:r>
        <w:rPr>
          <w:rFonts w:cs="Arial"/>
          <w:sz w:val="26"/>
          <w:szCs w:val="26"/>
        </w:rPr>
        <w:t>. 81</w:t>
      </w:r>
      <w:r w:rsidRPr="00582D17" w:rsidR="00331809">
        <w:rPr>
          <w:rFonts w:cs="Arial"/>
          <w:sz w:val="26"/>
          <w:szCs w:val="26"/>
        </w:rPr>
        <w:t xml:space="preserve"> of 150 LAs received </w:t>
      </w:r>
      <w:r w:rsidR="003E0B26">
        <w:rPr>
          <w:rFonts w:cs="Arial"/>
          <w:sz w:val="26"/>
          <w:szCs w:val="26"/>
        </w:rPr>
        <w:t xml:space="preserve">floor </w:t>
      </w:r>
      <w:r w:rsidRPr="00582D17" w:rsidR="00331809">
        <w:rPr>
          <w:rFonts w:cs="Arial"/>
          <w:sz w:val="26"/>
          <w:szCs w:val="26"/>
        </w:rPr>
        <w:t>protection</w:t>
      </w:r>
      <w:r w:rsidRPr="00582D17" w:rsidR="002C63F4">
        <w:rPr>
          <w:rFonts w:cs="Arial"/>
          <w:sz w:val="26"/>
          <w:szCs w:val="26"/>
        </w:rPr>
        <w:t xml:space="preserve"> and our </w:t>
      </w:r>
      <w:r w:rsidRPr="00582D17" w:rsidR="005E14A1">
        <w:rPr>
          <w:rFonts w:cs="Arial"/>
          <w:sz w:val="26"/>
          <w:szCs w:val="26"/>
        </w:rPr>
        <w:t xml:space="preserve">allocation, expressed as a percentage of overall funding, is the </w:t>
      </w:r>
      <w:r w:rsidR="003E0B26">
        <w:rPr>
          <w:rFonts w:cs="Arial"/>
          <w:sz w:val="26"/>
          <w:szCs w:val="26"/>
        </w:rPr>
        <w:t>8</w:t>
      </w:r>
      <w:r w:rsidRPr="00582D17" w:rsidR="00331809">
        <w:rPr>
          <w:rFonts w:cs="Arial"/>
          <w:sz w:val="26"/>
          <w:szCs w:val="26"/>
          <w:vertAlign w:val="superscript"/>
        </w:rPr>
        <w:t>th</w:t>
      </w:r>
      <w:r w:rsidRPr="00582D17" w:rsidR="00331809">
        <w:rPr>
          <w:rFonts w:cs="Arial"/>
          <w:sz w:val="26"/>
          <w:szCs w:val="26"/>
        </w:rPr>
        <w:t xml:space="preserve"> lowest</w:t>
      </w:r>
      <w:r w:rsidR="003E0B26">
        <w:rPr>
          <w:rFonts w:cs="Arial"/>
          <w:sz w:val="26"/>
          <w:szCs w:val="26"/>
        </w:rPr>
        <w:t xml:space="preserve"> (previously 15</w:t>
      </w:r>
      <w:r w:rsidRPr="003E0B26" w:rsidR="003E0B26">
        <w:rPr>
          <w:rFonts w:cs="Arial"/>
          <w:sz w:val="26"/>
          <w:szCs w:val="26"/>
          <w:vertAlign w:val="superscript"/>
        </w:rPr>
        <w:t>th</w:t>
      </w:r>
      <w:r w:rsidR="003E0B26">
        <w:rPr>
          <w:rFonts w:cs="Arial"/>
          <w:sz w:val="26"/>
          <w:szCs w:val="26"/>
        </w:rPr>
        <w:t xml:space="preserve"> lowest of 78</w:t>
      </w:r>
      <w:r w:rsidRPr="00582D17" w:rsidR="00331809">
        <w:rPr>
          <w:rFonts w:cs="Arial"/>
          <w:sz w:val="26"/>
          <w:szCs w:val="26"/>
        </w:rPr>
        <w:t>.</w:t>
      </w:r>
      <w:r w:rsidR="003E0B26">
        <w:rPr>
          <w:rFonts w:cs="Arial"/>
          <w:sz w:val="26"/>
          <w:szCs w:val="26"/>
        </w:rPr>
        <w:t>)</w:t>
      </w:r>
    </w:p>
    <w:p w:rsidR="00DA6535" w:rsidP="003E0B26" w:rsidRDefault="00DA6535">
      <w:pPr>
        <w:rPr>
          <w:rFonts w:cs="Arial"/>
          <w:sz w:val="26"/>
          <w:szCs w:val="26"/>
        </w:rPr>
      </w:pPr>
    </w:p>
    <w:p w:rsidRPr="001F3289" w:rsidR="001F3289" w:rsidP="001F3289" w:rsidRDefault="001F3289">
      <w:pPr>
        <w:rPr>
          <w:rFonts w:cs="Arial"/>
          <w:sz w:val="26"/>
          <w:szCs w:val="26"/>
        </w:rPr>
      </w:pPr>
      <w:r w:rsidRPr="001F3289">
        <w:rPr>
          <w:rFonts w:cs="Arial"/>
          <w:sz w:val="26"/>
          <w:szCs w:val="26"/>
        </w:rPr>
        <w:t>In the n</w:t>
      </w:r>
      <w:r w:rsidR="00EE423D">
        <w:rPr>
          <w:rFonts w:cs="Arial"/>
          <w:sz w:val="26"/>
          <w:szCs w:val="26"/>
        </w:rPr>
        <w:t>ational f</w:t>
      </w:r>
      <w:r w:rsidRPr="001F3289">
        <w:rPr>
          <w:rFonts w:cs="Arial"/>
          <w:sz w:val="26"/>
          <w:szCs w:val="26"/>
        </w:rPr>
        <w:t>ormula t</w:t>
      </w:r>
      <w:r w:rsidRPr="001F3289" w:rsidR="00DA6535">
        <w:rPr>
          <w:rFonts w:cs="Arial"/>
          <w:sz w:val="26"/>
          <w:szCs w:val="26"/>
        </w:rPr>
        <w:t>he DfE have introduced an import/export adjustment</w:t>
      </w:r>
      <w:r w:rsidRPr="001F3289">
        <w:rPr>
          <w:rFonts w:cs="Arial"/>
          <w:sz w:val="26"/>
          <w:szCs w:val="26"/>
        </w:rPr>
        <w:t xml:space="preserve">. Apart from the basic entitlement factor (which reflects the number of children in special school places situated within a local authority, regardless of where the child lives), the high needs funding formula is designed to fund local authorities to meet the needs of children and young people who live in their area (regardless of where they are educated). </w:t>
      </w:r>
    </w:p>
    <w:p w:rsidR="003E0B26" w:rsidP="003E0B26" w:rsidRDefault="003E0B26">
      <w:pPr>
        <w:rPr>
          <w:rFonts w:cs="Arial"/>
          <w:sz w:val="26"/>
          <w:szCs w:val="26"/>
        </w:rPr>
      </w:pPr>
    </w:p>
    <w:p w:rsidR="00785B3B" w:rsidP="001F3289" w:rsidRDefault="001F3289">
      <w:pPr>
        <w:pStyle w:val="Default"/>
        <w:rPr>
          <w:color w:val="auto"/>
          <w:sz w:val="26"/>
          <w:szCs w:val="26"/>
        </w:rPr>
      </w:pPr>
      <w:r w:rsidRPr="001F3289">
        <w:rPr>
          <w:color w:val="auto"/>
          <w:sz w:val="26"/>
          <w:szCs w:val="26"/>
        </w:rPr>
        <w:t xml:space="preserve">Local authorities, however, face higher costs if they attract more pupils and students with high needs who live outside the local authority area into the school and college places that they fund (i.e. ‘imports’). Conversely, authorities that ‘export’ pupils and students to other local authority places face lower costs. </w:t>
      </w:r>
    </w:p>
    <w:p w:rsidR="00785B3B" w:rsidP="001F3289" w:rsidRDefault="00785B3B">
      <w:pPr>
        <w:pStyle w:val="Default"/>
        <w:rPr>
          <w:color w:val="auto"/>
          <w:sz w:val="26"/>
          <w:szCs w:val="26"/>
        </w:rPr>
      </w:pPr>
    </w:p>
    <w:p w:rsidR="00A47951" w:rsidP="001F3289" w:rsidRDefault="001F3289">
      <w:pPr>
        <w:pStyle w:val="Default"/>
        <w:rPr>
          <w:color w:val="auto"/>
          <w:sz w:val="26"/>
          <w:szCs w:val="26"/>
        </w:rPr>
      </w:pPr>
      <w:r w:rsidRPr="001F3289">
        <w:rPr>
          <w:color w:val="auto"/>
          <w:sz w:val="26"/>
          <w:szCs w:val="26"/>
        </w:rPr>
        <w:t>The import/export adjustment ensures the funding system reflects these differences in costs.</w:t>
      </w:r>
      <w:r w:rsidR="00785B3B">
        <w:rPr>
          <w:color w:val="auto"/>
          <w:sz w:val="26"/>
          <w:szCs w:val="26"/>
        </w:rPr>
        <w:t xml:space="preserve"> </w:t>
      </w:r>
      <w:r>
        <w:rPr>
          <w:color w:val="auto"/>
          <w:sz w:val="26"/>
          <w:szCs w:val="26"/>
        </w:rPr>
        <w:t xml:space="preserve">The adjustment </w:t>
      </w:r>
      <w:r w:rsidRPr="001F3289">
        <w:rPr>
          <w:color w:val="auto"/>
          <w:sz w:val="26"/>
          <w:szCs w:val="26"/>
        </w:rPr>
        <w:t xml:space="preserve">uses school census and ILR data on pupils and students who attract top-up funding. </w:t>
      </w:r>
      <w:r>
        <w:rPr>
          <w:color w:val="auto"/>
          <w:sz w:val="26"/>
          <w:szCs w:val="26"/>
        </w:rPr>
        <w:t>The DfE’s analysis shows that there are</w:t>
      </w:r>
      <w:r w:rsidR="00A47951">
        <w:rPr>
          <w:color w:val="auto"/>
          <w:sz w:val="26"/>
          <w:szCs w:val="26"/>
        </w:rPr>
        <w:t xml:space="preserve">: </w:t>
      </w:r>
    </w:p>
    <w:p w:rsidR="00A47951" w:rsidP="001F3289" w:rsidRDefault="00A47951">
      <w:pPr>
        <w:pStyle w:val="Default"/>
        <w:rPr>
          <w:color w:val="auto"/>
          <w:sz w:val="26"/>
          <w:szCs w:val="26"/>
        </w:rPr>
      </w:pPr>
    </w:p>
    <w:p w:rsidR="00785B3B" w:rsidP="00785B3B" w:rsidRDefault="00A47951">
      <w:pPr>
        <w:pStyle w:val="Default"/>
        <w:numPr>
          <w:ilvl w:val="0"/>
          <w:numId w:val="48"/>
        </w:numPr>
        <w:rPr>
          <w:color w:val="auto"/>
          <w:sz w:val="26"/>
          <w:szCs w:val="26"/>
        </w:rPr>
      </w:pPr>
      <w:r>
        <w:rPr>
          <w:color w:val="auto"/>
          <w:sz w:val="26"/>
          <w:szCs w:val="26"/>
        </w:rPr>
        <w:t xml:space="preserve">3,090 </w:t>
      </w:r>
      <w:r w:rsidR="00785B3B">
        <w:rPr>
          <w:color w:val="auto"/>
          <w:sz w:val="26"/>
          <w:szCs w:val="26"/>
        </w:rPr>
        <w:t xml:space="preserve">Derbyshire resident </w:t>
      </w:r>
      <w:r>
        <w:rPr>
          <w:color w:val="auto"/>
          <w:sz w:val="26"/>
          <w:szCs w:val="26"/>
        </w:rPr>
        <w:t xml:space="preserve">students </w:t>
      </w:r>
      <w:r w:rsidR="00785B3B">
        <w:rPr>
          <w:color w:val="auto"/>
          <w:sz w:val="26"/>
          <w:szCs w:val="26"/>
        </w:rPr>
        <w:t xml:space="preserve">that </w:t>
      </w:r>
      <w:r>
        <w:rPr>
          <w:color w:val="auto"/>
          <w:sz w:val="26"/>
          <w:szCs w:val="26"/>
        </w:rPr>
        <w:t xml:space="preserve">attend non Derbyshire provision; and </w:t>
      </w:r>
    </w:p>
    <w:p w:rsidR="001F3289" w:rsidP="00785B3B" w:rsidRDefault="00785B3B">
      <w:pPr>
        <w:pStyle w:val="Default"/>
        <w:numPr>
          <w:ilvl w:val="0"/>
          <w:numId w:val="48"/>
        </w:numPr>
        <w:rPr>
          <w:color w:val="auto"/>
          <w:sz w:val="26"/>
          <w:szCs w:val="26"/>
        </w:rPr>
      </w:pPr>
      <w:r>
        <w:rPr>
          <w:color w:val="auto"/>
          <w:sz w:val="26"/>
          <w:szCs w:val="26"/>
        </w:rPr>
        <w:t>2</w:t>
      </w:r>
      <w:r w:rsidR="00A47951">
        <w:rPr>
          <w:color w:val="auto"/>
          <w:sz w:val="26"/>
          <w:szCs w:val="26"/>
        </w:rPr>
        <w:t>,849 students resident in other LAs attending provision in Derbyshire.</w:t>
      </w:r>
    </w:p>
    <w:p w:rsidR="00A47951" w:rsidP="001F3289" w:rsidRDefault="00A47951">
      <w:pPr>
        <w:pStyle w:val="Default"/>
        <w:rPr>
          <w:color w:val="auto"/>
          <w:sz w:val="26"/>
          <w:szCs w:val="26"/>
        </w:rPr>
      </w:pPr>
    </w:p>
    <w:p w:rsidRPr="00A47951" w:rsidR="00A47951" w:rsidP="00A47951" w:rsidRDefault="00A47951">
      <w:pPr>
        <w:pStyle w:val="Default"/>
        <w:rPr>
          <w:color w:val="auto"/>
          <w:sz w:val="26"/>
          <w:szCs w:val="26"/>
        </w:rPr>
      </w:pPr>
      <w:r>
        <w:rPr>
          <w:color w:val="auto"/>
          <w:sz w:val="26"/>
          <w:szCs w:val="26"/>
        </w:rPr>
        <w:t xml:space="preserve">Thus Derbyshire is a net “exporter” of 241 students for which an adjustment of £6,000 per student has been applied. This figure </w:t>
      </w:r>
      <w:r w:rsidRPr="00A47951">
        <w:rPr>
          <w:color w:val="auto"/>
          <w:sz w:val="26"/>
          <w:szCs w:val="26"/>
        </w:rPr>
        <w:t>represents the cost of the place funding (£10,000), less the basic entitlement in special schools, or the equivalent in mainstream schools and post-16 institutions (£4,000).</w:t>
      </w:r>
    </w:p>
    <w:p w:rsidR="001F3289" w:rsidP="003E0B26" w:rsidRDefault="001F3289">
      <w:pPr>
        <w:rPr>
          <w:rFonts w:cs="Arial"/>
          <w:sz w:val="26"/>
          <w:szCs w:val="26"/>
        </w:rPr>
      </w:pPr>
    </w:p>
    <w:p w:rsidR="001F3289" w:rsidP="003E0B26" w:rsidRDefault="00A47951">
      <w:pPr>
        <w:rPr>
          <w:rFonts w:cs="Arial"/>
          <w:sz w:val="26"/>
          <w:szCs w:val="26"/>
        </w:rPr>
      </w:pPr>
      <w:r>
        <w:rPr>
          <w:rFonts w:cs="Arial"/>
          <w:sz w:val="26"/>
          <w:szCs w:val="26"/>
        </w:rPr>
        <w:t xml:space="preserve">The </w:t>
      </w:r>
      <w:r w:rsidR="008D4495">
        <w:rPr>
          <w:rFonts w:cs="Arial"/>
          <w:sz w:val="26"/>
          <w:szCs w:val="26"/>
        </w:rPr>
        <w:t xml:space="preserve">gross </w:t>
      </w:r>
      <w:r>
        <w:rPr>
          <w:rFonts w:cs="Arial"/>
          <w:sz w:val="26"/>
          <w:szCs w:val="26"/>
        </w:rPr>
        <w:t>loss of budget</w:t>
      </w:r>
      <w:r w:rsidR="008D4495">
        <w:rPr>
          <w:rFonts w:cs="Arial"/>
          <w:sz w:val="26"/>
          <w:szCs w:val="26"/>
        </w:rPr>
        <w:t xml:space="preserve"> is </w:t>
      </w:r>
      <w:r>
        <w:rPr>
          <w:rFonts w:cs="Arial"/>
          <w:sz w:val="26"/>
          <w:szCs w:val="26"/>
        </w:rPr>
        <w:t>£1.446m</w:t>
      </w:r>
      <w:r w:rsidR="00253596">
        <w:rPr>
          <w:rFonts w:cs="Arial"/>
          <w:sz w:val="26"/>
          <w:szCs w:val="26"/>
        </w:rPr>
        <w:t>,</w:t>
      </w:r>
      <w:r>
        <w:rPr>
          <w:rFonts w:cs="Arial"/>
          <w:sz w:val="26"/>
          <w:szCs w:val="26"/>
        </w:rPr>
        <w:t xml:space="preserve"> </w:t>
      </w:r>
      <w:r w:rsidR="008D4495">
        <w:rPr>
          <w:rFonts w:cs="Arial"/>
          <w:sz w:val="26"/>
          <w:szCs w:val="26"/>
        </w:rPr>
        <w:t>and work is underway to measure the net reduction in costs.</w:t>
      </w:r>
      <w:r>
        <w:rPr>
          <w:rFonts w:cs="Arial"/>
          <w:sz w:val="26"/>
          <w:szCs w:val="26"/>
        </w:rPr>
        <w:t xml:space="preserve"> However, th</w:t>
      </w:r>
      <w:r w:rsidR="008D4495">
        <w:rPr>
          <w:rFonts w:cs="Arial"/>
          <w:sz w:val="26"/>
          <w:szCs w:val="26"/>
        </w:rPr>
        <w:t xml:space="preserve">e budget </w:t>
      </w:r>
      <w:r>
        <w:rPr>
          <w:rFonts w:cs="Arial"/>
          <w:sz w:val="26"/>
          <w:szCs w:val="26"/>
        </w:rPr>
        <w:t>reduction is within the net overall increase of £0.218m and is the main reason why Derbyshire’s year on year increase in HNB funding is low.</w:t>
      </w:r>
    </w:p>
    <w:p w:rsidR="001F3289" w:rsidP="003E0B26" w:rsidRDefault="001F3289">
      <w:pPr>
        <w:rPr>
          <w:rFonts w:cs="Arial"/>
          <w:sz w:val="26"/>
          <w:szCs w:val="26"/>
        </w:rPr>
      </w:pPr>
    </w:p>
    <w:p w:rsidRPr="00ED0E00" w:rsidR="00ED0E00" w:rsidP="00331809" w:rsidRDefault="00ED0E00">
      <w:pPr>
        <w:rPr>
          <w:rFonts w:cs="Arial"/>
          <w:b/>
          <w:sz w:val="26"/>
          <w:szCs w:val="26"/>
        </w:rPr>
      </w:pPr>
      <w:r w:rsidRPr="00ED0E00">
        <w:rPr>
          <w:rFonts w:cs="Arial"/>
          <w:b/>
          <w:sz w:val="26"/>
          <w:szCs w:val="26"/>
        </w:rPr>
        <w:t xml:space="preserve">2.3 </w:t>
      </w:r>
      <w:r>
        <w:rPr>
          <w:rFonts w:cs="Arial"/>
          <w:b/>
          <w:sz w:val="26"/>
          <w:szCs w:val="26"/>
        </w:rPr>
        <w:tab/>
      </w:r>
      <w:r w:rsidRPr="00ED0E00">
        <w:rPr>
          <w:rFonts w:cs="Arial"/>
          <w:b/>
          <w:sz w:val="26"/>
          <w:szCs w:val="26"/>
          <w:u w:val="single"/>
        </w:rPr>
        <w:t>Local Flexibility</w:t>
      </w:r>
    </w:p>
    <w:p w:rsidR="00ED0E00" w:rsidP="00331809" w:rsidRDefault="00ED0E00">
      <w:pPr>
        <w:rPr>
          <w:rFonts w:cs="Arial"/>
          <w:sz w:val="26"/>
          <w:szCs w:val="26"/>
        </w:rPr>
      </w:pPr>
    </w:p>
    <w:p w:rsidRPr="00DA4BAD" w:rsidR="00DA4BAD" w:rsidP="00DA4BAD" w:rsidRDefault="00DA4BAD">
      <w:pPr>
        <w:rPr>
          <w:rFonts w:cs="Arial"/>
          <w:sz w:val="26"/>
          <w:szCs w:val="26"/>
        </w:rPr>
      </w:pPr>
      <w:r w:rsidRPr="00DA4BAD">
        <w:rPr>
          <w:rFonts w:cs="Arial"/>
          <w:sz w:val="26"/>
          <w:szCs w:val="26"/>
        </w:rPr>
        <w:t>The second stage of the consultation recognised that a degree of flexibility between the DSG funding blocks would be needed to ensure that local authorities could manage their high needs budget. Local authorities will therefore be able t</w:t>
      </w:r>
      <w:r w:rsidR="008D4495">
        <w:rPr>
          <w:rFonts w:cs="Arial"/>
          <w:sz w:val="26"/>
          <w:szCs w:val="26"/>
        </w:rPr>
        <w:t xml:space="preserve">o transfer up </w:t>
      </w:r>
      <w:r w:rsidR="008D4495">
        <w:rPr>
          <w:rFonts w:cs="Arial"/>
          <w:sz w:val="26"/>
          <w:szCs w:val="26"/>
        </w:rPr>
        <w:lastRenderedPageBreak/>
        <w:t>to 0.5% of their S</w:t>
      </w:r>
      <w:r w:rsidRPr="00DA4BAD">
        <w:rPr>
          <w:rFonts w:cs="Arial"/>
          <w:sz w:val="26"/>
          <w:szCs w:val="26"/>
        </w:rPr>
        <w:t xml:space="preserve">chools </w:t>
      </w:r>
      <w:r w:rsidR="008D4495">
        <w:rPr>
          <w:rFonts w:cs="Arial"/>
          <w:sz w:val="26"/>
          <w:szCs w:val="26"/>
        </w:rPr>
        <w:t>B</w:t>
      </w:r>
      <w:r w:rsidRPr="00DA4BAD">
        <w:rPr>
          <w:rFonts w:cs="Arial"/>
          <w:sz w:val="26"/>
          <w:szCs w:val="26"/>
        </w:rPr>
        <w:t>lock funding into their high needs budge</w:t>
      </w:r>
      <w:r w:rsidR="008D4495">
        <w:rPr>
          <w:rFonts w:cs="Arial"/>
          <w:sz w:val="26"/>
          <w:szCs w:val="26"/>
        </w:rPr>
        <w:t>t, with the agreement of their S</w:t>
      </w:r>
      <w:r w:rsidRPr="00DA4BAD">
        <w:rPr>
          <w:rFonts w:cs="Arial"/>
          <w:sz w:val="26"/>
          <w:szCs w:val="26"/>
        </w:rPr>
        <w:t xml:space="preserve">chools </w:t>
      </w:r>
      <w:r w:rsidR="008D4495">
        <w:rPr>
          <w:rFonts w:cs="Arial"/>
          <w:sz w:val="26"/>
          <w:szCs w:val="26"/>
        </w:rPr>
        <w:t>F</w:t>
      </w:r>
      <w:r w:rsidRPr="00DA4BAD">
        <w:rPr>
          <w:rFonts w:cs="Arial"/>
          <w:sz w:val="26"/>
          <w:szCs w:val="26"/>
        </w:rPr>
        <w:t xml:space="preserve">orum. </w:t>
      </w:r>
    </w:p>
    <w:p w:rsidR="00ED0E00" w:rsidP="00ED0E00" w:rsidRDefault="00ED0E00">
      <w:pPr>
        <w:rPr>
          <w:rFonts w:cs="Arial"/>
          <w:sz w:val="26"/>
          <w:szCs w:val="26"/>
        </w:rPr>
      </w:pPr>
    </w:p>
    <w:p w:rsidRPr="00DA4BAD" w:rsidR="00DA4BAD" w:rsidP="00ED0E00" w:rsidRDefault="00DA4BAD">
      <w:pPr>
        <w:rPr>
          <w:rFonts w:cs="Arial"/>
          <w:b/>
          <w:sz w:val="26"/>
          <w:szCs w:val="26"/>
        </w:rPr>
      </w:pPr>
      <w:r w:rsidRPr="00DA4BAD">
        <w:rPr>
          <w:rFonts w:cs="Arial"/>
          <w:b/>
          <w:sz w:val="26"/>
          <w:szCs w:val="26"/>
        </w:rPr>
        <w:t>2.4</w:t>
      </w:r>
      <w:r w:rsidRPr="00DA4BAD">
        <w:rPr>
          <w:rFonts w:cs="Arial"/>
          <w:b/>
          <w:sz w:val="26"/>
          <w:szCs w:val="26"/>
        </w:rPr>
        <w:tab/>
      </w:r>
      <w:r w:rsidRPr="00DA4BAD">
        <w:rPr>
          <w:rFonts w:cs="Arial"/>
          <w:b/>
          <w:sz w:val="26"/>
          <w:szCs w:val="26"/>
          <w:u w:val="single"/>
        </w:rPr>
        <w:t>Closing remarks</w:t>
      </w:r>
    </w:p>
    <w:p w:rsidR="00DA4BAD" w:rsidP="00ED0E00" w:rsidRDefault="00DA4BAD">
      <w:pPr>
        <w:rPr>
          <w:rFonts w:cs="Arial"/>
          <w:sz w:val="26"/>
          <w:szCs w:val="26"/>
        </w:rPr>
      </w:pPr>
    </w:p>
    <w:p w:rsidR="00DA4BAD" w:rsidP="00ED0E00" w:rsidRDefault="00DA4BAD">
      <w:pPr>
        <w:rPr>
          <w:rFonts w:cs="Arial"/>
          <w:sz w:val="26"/>
          <w:szCs w:val="26"/>
        </w:rPr>
      </w:pPr>
      <w:r>
        <w:rPr>
          <w:rFonts w:cs="Arial"/>
          <w:sz w:val="26"/>
          <w:szCs w:val="26"/>
        </w:rPr>
        <w:t>This report represents a first look at the national announcements</w:t>
      </w:r>
      <w:r w:rsidR="00253596">
        <w:rPr>
          <w:rFonts w:cs="Arial"/>
          <w:sz w:val="26"/>
          <w:szCs w:val="26"/>
        </w:rPr>
        <w:t xml:space="preserve"> and more time is needed to understand the full </w:t>
      </w:r>
      <w:r w:rsidR="008D4495">
        <w:rPr>
          <w:rFonts w:cs="Arial"/>
          <w:sz w:val="26"/>
          <w:szCs w:val="26"/>
        </w:rPr>
        <w:t xml:space="preserve">impact </w:t>
      </w:r>
      <w:r w:rsidR="00253596">
        <w:rPr>
          <w:rFonts w:cs="Arial"/>
          <w:sz w:val="26"/>
          <w:szCs w:val="26"/>
        </w:rPr>
        <w:t xml:space="preserve">of the settlement and </w:t>
      </w:r>
      <w:r w:rsidR="008D4495">
        <w:rPr>
          <w:rFonts w:cs="Arial"/>
          <w:sz w:val="26"/>
          <w:szCs w:val="26"/>
        </w:rPr>
        <w:t>the implications locally for 2018-19</w:t>
      </w:r>
      <w:r>
        <w:rPr>
          <w:rFonts w:cs="Arial"/>
          <w:sz w:val="26"/>
          <w:szCs w:val="26"/>
        </w:rPr>
        <w:t xml:space="preserve">. </w:t>
      </w:r>
      <w:r w:rsidR="00253596">
        <w:rPr>
          <w:rFonts w:cs="Arial"/>
          <w:sz w:val="26"/>
          <w:szCs w:val="26"/>
        </w:rPr>
        <w:t>This work will be undertaken over the coming weeks and f</w:t>
      </w:r>
      <w:r>
        <w:rPr>
          <w:rFonts w:cs="Arial"/>
          <w:sz w:val="26"/>
          <w:szCs w:val="26"/>
        </w:rPr>
        <w:t xml:space="preserve">urther reports on the </w:t>
      </w:r>
      <w:r w:rsidR="008D4495">
        <w:rPr>
          <w:rFonts w:cs="Arial"/>
          <w:sz w:val="26"/>
          <w:szCs w:val="26"/>
        </w:rPr>
        <w:t>H</w:t>
      </w:r>
      <w:r>
        <w:rPr>
          <w:rFonts w:cs="Arial"/>
          <w:sz w:val="26"/>
          <w:szCs w:val="26"/>
        </w:rPr>
        <w:t xml:space="preserve">igh </w:t>
      </w:r>
      <w:r w:rsidR="008D4495">
        <w:rPr>
          <w:rFonts w:cs="Arial"/>
          <w:sz w:val="26"/>
          <w:szCs w:val="26"/>
        </w:rPr>
        <w:t>N</w:t>
      </w:r>
      <w:r>
        <w:rPr>
          <w:rFonts w:cs="Arial"/>
          <w:sz w:val="26"/>
          <w:szCs w:val="26"/>
        </w:rPr>
        <w:t xml:space="preserve">eeds </w:t>
      </w:r>
      <w:r w:rsidR="008D4495">
        <w:rPr>
          <w:rFonts w:cs="Arial"/>
          <w:sz w:val="26"/>
          <w:szCs w:val="26"/>
        </w:rPr>
        <w:t>B</w:t>
      </w:r>
      <w:r>
        <w:rPr>
          <w:rFonts w:cs="Arial"/>
          <w:sz w:val="26"/>
          <w:szCs w:val="26"/>
        </w:rPr>
        <w:t>lock will be brought to the Schools Forum during the remainder of this term and in</w:t>
      </w:r>
      <w:r w:rsidR="00F07D30">
        <w:rPr>
          <w:rFonts w:cs="Arial"/>
          <w:sz w:val="26"/>
          <w:szCs w:val="26"/>
        </w:rPr>
        <w:t xml:space="preserve"> the early part of </w:t>
      </w:r>
      <w:r>
        <w:rPr>
          <w:rFonts w:cs="Arial"/>
          <w:sz w:val="26"/>
          <w:szCs w:val="26"/>
        </w:rPr>
        <w:t>2018.</w:t>
      </w:r>
    </w:p>
    <w:p w:rsidR="00DA4BAD" w:rsidP="00ED0E00" w:rsidRDefault="00DA4BAD">
      <w:pPr>
        <w:rPr>
          <w:rFonts w:cs="Arial"/>
          <w:sz w:val="26"/>
          <w:szCs w:val="26"/>
        </w:rPr>
      </w:pPr>
    </w:p>
    <w:p w:rsidRPr="005E14A1" w:rsidR="0031193E" w:rsidP="0031193E" w:rsidRDefault="00D15ED8">
      <w:pPr>
        <w:rPr>
          <w:rFonts w:cs="Arial"/>
          <w:b/>
          <w:sz w:val="26"/>
          <w:szCs w:val="26"/>
          <w:u w:val="single"/>
        </w:rPr>
      </w:pPr>
      <w:r>
        <w:rPr>
          <w:rFonts w:cs="Arial"/>
          <w:b/>
          <w:sz w:val="26"/>
          <w:szCs w:val="26"/>
        </w:rPr>
        <w:t>3</w:t>
      </w:r>
      <w:r w:rsidRPr="005E14A1" w:rsidR="006D1BE8">
        <w:rPr>
          <w:rFonts w:cs="Arial"/>
          <w:b/>
          <w:sz w:val="26"/>
          <w:szCs w:val="26"/>
        </w:rPr>
        <w:t>.</w:t>
      </w:r>
      <w:r w:rsidRPr="005E14A1" w:rsidR="0031193E">
        <w:rPr>
          <w:rFonts w:cs="Arial"/>
          <w:b/>
          <w:sz w:val="26"/>
          <w:szCs w:val="26"/>
        </w:rPr>
        <w:t xml:space="preserve"> </w:t>
      </w:r>
      <w:r w:rsidRPr="005E14A1" w:rsidR="0031193E">
        <w:rPr>
          <w:rFonts w:cs="Arial"/>
          <w:b/>
          <w:sz w:val="26"/>
          <w:szCs w:val="26"/>
        </w:rPr>
        <w:tab/>
      </w:r>
      <w:r w:rsidRPr="005E14A1" w:rsidR="0031193E">
        <w:rPr>
          <w:rFonts w:cs="Arial"/>
          <w:b/>
          <w:sz w:val="26"/>
          <w:szCs w:val="26"/>
          <w:u w:val="single"/>
        </w:rPr>
        <w:t>Other Considerations</w:t>
      </w:r>
    </w:p>
    <w:p w:rsidRPr="005E14A1" w:rsidR="0031193E" w:rsidP="0031193E" w:rsidRDefault="0031193E">
      <w:pPr>
        <w:ind w:left="284"/>
        <w:jc w:val="both"/>
        <w:rPr>
          <w:rFonts w:cs="Arial"/>
          <w:sz w:val="26"/>
          <w:szCs w:val="26"/>
        </w:rPr>
      </w:pPr>
    </w:p>
    <w:p w:rsidRPr="005E14A1" w:rsidR="0031193E" w:rsidP="00C14739" w:rsidRDefault="0031193E">
      <w:pPr>
        <w:rPr>
          <w:rFonts w:cs="Arial"/>
          <w:sz w:val="26"/>
          <w:szCs w:val="26"/>
        </w:rPr>
      </w:pPr>
      <w:r w:rsidRPr="005E14A1">
        <w:rPr>
          <w:rFonts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Pr="005E14A1" w:rsidR="00826324" w:rsidP="00826324" w:rsidRDefault="00826324">
      <w:pPr>
        <w:rPr>
          <w:rFonts w:cs="Arial"/>
          <w:b/>
          <w:sz w:val="26"/>
          <w:szCs w:val="26"/>
        </w:rPr>
      </w:pPr>
    </w:p>
    <w:p w:rsidRPr="005E14A1" w:rsidR="00261E9C" w:rsidP="00261E9C" w:rsidRDefault="00D15ED8">
      <w:pPr>
        <w:rPr>
          <w:rFonts w:cs="Arial"/>
          <w:b/>
          <w:sz w:val="26"/>
          <w:szCs w:val="26"/>
          <w:u w:val="single"/>
        </w:rPr>
      </w:pPr>
      <w:r>
        <w:rPr>
          <w:rFonts w:cs="Arial"/>
          <w:b/>
          <w:sz w:val="26"/>
          <w:szCs w:val="26"/>
        </w:rPr>
        <w:t>4</w:t>
      </w:r>
      <w:r w:rsidRPr="005E14A1" w:rsidR="0031193E">
        <w:rPr>
          <w:rFonts w:cs="Arial"/>
          <w:b/>
          <w:sz w:val="26"/>
          <w:szCs w:val="26"/>
        </w:rPr>
        <w:t>.</w:t>
      </w:r>
      <w:r w:rsidRPr="005E14A1" w:rsidR="00261E9C">
        <w:rPr>
          <w:rFonts w:cs="Arial"/>
          <w:b/>
          <w:sz w:val="26"/>
          <w:szCs w:val="26"/>
        </w:rPr>
        <w:tab/>
      </w:r>
      <w:r w:rsidRPr="005E14A1" w:rsidR="00261E9C">
        <w:rPr>
          <w:rFonts w:cs="Arial"/>
          <w:b/>
          <w:sz w:val="26"/>
          <w:szCs w:val="26"/>
          <w:u w:val="single"/>
        </w:rPr>
        <w:t>Strategic Director’s Recommendations</w:t>
      </w:r>
    </w:p>
    <w:p w:rsidRPr="005E14A1" w:rsidR="006845BD" w:rsidP="006845BD" w:rsidRDefault="006845BD">
      <w:pPr>
        <w:ind w:left="709" w:hanging="709"/>
        <w:rPr>
          <w:rFonts w:cs="Arial"/>
          <w:sz w:val="26"/>
          <w:szCs w:val="26"/>
        </w:rPr>
      </w:pPr>
    </w:p>
    <w:p w:rsidR="0089449D" w:rsidP="00D15ED8" w:rsidRDefault="006D1BE8">
      <w:pPr>
        <w:rPr>
          <w:rFonts w:cs="Arial"/>
          <w:sz w:val="26"/>
          <w:szCs w:val="26"/>
        </w:rPr>
      </w:pPr>
      <w:r w:rsidRPr="005E14A1">
        <w:rPr>
          <w:rFonts w:cs="Arial"/>
          <w:sz w:val="26"/>
          <w:szCs w:val="26"/>
        </w:rPr>
        <w:t>The Schools Forum is asked to</w:t>
      </w:r>
      <w:r w:rsidR="0089449D">
        <w:rPr>
          <w:rFonts w:cs="Arial"/>
          <w:sz w:val="26"/>
          <w:szCs w:val="26"/>
        </w:rPr>
        <w:t>:</w:t>
      </w:r>
    </w:p>
    <w:p w:rsidR="0089449D" w:rsidP="00D15ED8" w:rsidRDefault="0089449D">
      <w:pPr>
        <w:rPr>
          <w:rFonts w:cs="Arial"/>
          <w:sz w:val="26"/>
          <w:szCs w:val="26"/>
        </w:rPr>
      </w:pPr>
    </w:p>
    <w:p w:rsidR="0089449D" w:rsidP="0089449D" w:rsidRDefault="0089449D">
      <w:pPr>
        <w:pStyle w:val="ListParagraph"/>
        <w:numPr>
          <w:ilvl w:val="0"/>
          <w:numId w:val="47"/>
        </w:numPr>
        <w:rPr>
          <w:rFonts w:cs="Arial"/>
          <w:sz w:val="26"/>
          <w:szCs w:val="26"/>
        </w:rPr>
      </w:pPr>
      <w:r>
        <w:rPr>
          <w:rFonts w:cs="Arial"/>
          <w:sz w:val="26"/>
          <w:szCs w:val="26"/>
        </w:rPr>
        <w:t>N</w:t>
      </w:r>
      <w:r w:rsidRPr="0089449D">
        <w:rPr>
          <w:rFonts w:cs="Arial"/>
          <w:sz w:val="26"/>
          <w:szCs w:val="26"/>
        </w:rPr>
        <w:t xml:space="preserve">ote the </w:t>
      </w:r>
      <w:r>
        <w:rPr>
          <w:rFonts w:cs="Arial"/>
          <w:sz w:val="26"/>
          <w:szCs w:val="26"/>
        </w:rPr>
        <w:t>report;</w:t>
      </w:r>
    </w:p>
    <w:p w:rsidR="0089449D" w:rsidP="0089449D" w:rsidRDefault="0089449D">
      <w:pPr>
        <w:pStyle w:val="ListParagraph"/>
        <w:numPr>
          <w:ilvl w:val="0"/>
          <w:numId w:val="47"/>
        </w:numPr>
        <w:rPr>
          <w:rFonts w:cs="Arial"/>
          <w:sz w:val="26"/>
          <w:szCs w:val="26"/>
        </w:rPr>
      </w:pPr>
      <w:r>
        <w:rPr>
          <w:rFonts w:cs="Arial"/>
          <w:sz w:val="26"/>
          <w:szCs w:val="26"/>
        </w:rPr>
        <w:t xml:space="preserve">Offer its views on the </w:t>
      </w:r>
      <w:r w:rsidR="00DA4BAD">
        <w:rPr>
          <w:rFonts w:cs="Arial"/>
          <w:sz w:val="26"/>
          <w:szCs w:val="26"/>
        </w:rPr>
        <w:t xml:space="preserve">new national </w:t>
      </w:r>
      <w:r>
        <w:rPr>
          <w:rFonts w:cs="Arial"/>
          <w:sz w:val="26"/>
          <w:szCs w:val="26"/>
        </w:rPr>
        <w:t>high needs formula; and</w:t>
      </w:r>
    </w:p>
    <w:p w:rsidRPr="0089449D" w:rsidR="006D1BE8" w:rsidP="0089449D" w:rsidRDefault="0089449D">
      <w:pPr>
        <w:pStyle w:val="ListParagraph"/>
        <w:numPr>
          <w:ilvl w:val="0"/>
          <w:numId w:val="47"/>
        </w:numPr>
        <w:rPr>
          <w:rFonts w:cs="Arial"/>
          <w:sz w:val="26"/>
          <w:szCs w:val="26"/>
        </w:rPr>
      </w:pPr>
      <w:r>
        <w:rPr>
          <w:rFonts w:cs="Arial"/>
          <w:sz w:val="26"/>
          <w:szCs w:val="26"/>
        </w:rPr>
        <w:t>Agree to receive further reports on this issue later in the year</w:t>
      </w:r>
      <w:r w:rsidRPr="0089449D" w:rsidR="0020487D">
        <w:rPr>
          <w:rFonts w:cs="Arial"/>
          <w:sz w:val="26"/>
          <w:szCs w:val="26"/>
        </w:rPr>
        <w:t>.</w:t>
      </w:r>
    </w:p>
    <w:p w:rsidRPr="005E14A1" w:rsidR="00331809" w:rsidP="00261E9C" w:rsidRDefault="00331809">
      <w:pPr>
        <w:rPr>
          <w:rFonts w:cs="Arial"/>
          <w:sz w:val="26"/>
          <w:szCs w:val="26"/>
        </w:rPr>
      </w:pPr>
    </w:p>
    <w:p w:rsidRPr="005E14A1" w:rsidR="00331809" w:rsidP="00261E9C" w:rsidRDefault="00331809">
      <w:pPr>
        <w:rPr>
          <w:rFonts w:cs="Arial"/>
          <w:sz w:val="26"/>
          <w:szCs w:val="26"/>
        </w:rPr>
      </w:pPr>
    </w:p>
    <w:p w:rsidRPr="005E14A1" w:rsidR="006D1BE8" w:rsidP="00261E9C" w:rsidRDefault="006D1BE8">
      <w:pPr>
        <w:rPr>
          <w:rFonts w:cs="Arial"/>
          <w:sz w:val="26"/>
          <w:szCs w:val="26"/>
        </w:rPr>
      </w:pPr>
    </w:p>
    <w:p w:rsidRPr="005E14A1" w:rsidR="00CF160D" w:rsidP="00CF160D" w:rsidRDefault="00CF160D">
      <w:pPr>
        <w:ind w:left="709"/>
        <w:jc w:val="center"/>
        <w:rPr>
          <w:rFonts w:cs="Arial"/>
          <w:b/>
          <w:sz w:val="26"/>
          <w:szCs w:val="26"/>
        </w:rPr>
      </w:pPr>
      <w:r w:rsidRPr="005E14A1">
        <w:rPr>
          <w:rFonts w:cs="Arial"/>
          <w:b/>
          <w:sz w:val="26"/>
          <w:szCs w:val="26"/>
        </w:rPr>
        <w:t>JANE PARFREMENT</w:t>
      </w:r>
    </w:p>
    <w:p w:rsidR="00441638" w:rsidP="00441638" w:rsidRDefault="00CF160D">
      <w:pPr>
        <w:ind w:left="709"/>
        <w:jc w:val="center"/>
        <w:rPr>
          <w:rFonts w:cs="Arial"/>
          <w:b/>
          <w:sz w:val="26"/>
          <w:szCs w:val="26"/>
        </w:rPr>
        <w:sectPr w:rsidR="00441638" w:rsidSect="004F69A6">
          <w:footerReference w:type="default" r:id="rId9"/>
          <w:pgSz w:w="11906" w:h="16838"/>
          <w:pgMar w:top="568" w:right="991" w:bottom="567" w:left="993" w:header="708" w:footer="708" w:gutter="0"/>
          <w:cols w:space="708"/>
          <w:docGrid w:linePitch="360"/>
        </w:sectPr>
      </w:pPr>
      <w:r w:rsidRPr="005E14A1">
        <w:rPr>
          <w:rFonts w:cs="Arial"/>
          <w:b/>
          <w:sz w:val="26"/>
          <w:szCs w:val="26"/>
        </w:rPr>
        <w:t>Strategic Director for Children’s Services</w:t>
      </w:r>
    </w:p>
    <w:p w:rsidRPr="005E14A1" w:rsidR="00441638" w:rsidP="00A67953" w:rsidRDefault="00A67953">
      <w:pPr>
        <w:tabs>
          <w:tab w:val="left" w:pos="10773"/>
        </w:tabs>
        <w:rPr>
          <w:rFonts w:cs="Arial"/>
          <w:sz w:val="26"/>
          <w:szCs w:val="26"/>
        </w:rPr>
      </w:pPr>
      <w:r w:rsidRPr="00A67953">
        <w:rPr>
          <w:rFonts w:cs="Arial"/>
          <w:b/>
          <w:sz w:val="26"/>
          <w:szCs w:val="26"/>
          <w:u w:val="single"/>
        </w:rPr>
        <w:lastRenderedPageBreak/>
        <w:t xml:space="preserve">Summary of </w:t>
      </w:r>
      <w:r w:rsidR="0089449D">
        <w:rPr>
          <w:rFonts w:cs="Arial"/>
          <w:b/>
          <w:sz w:val="26"/>
          <w:szCs w:val="26"/>
          <w:u w:val="single"/>
        </w:rPr>
        <w:t xml:space="preserve">Derbyshire’s </w:t>
      </w:r>
      <w:r w:rsidR="00912437">
        <w:rPr>
          <w:rFonts w:cs="Arial"/>
          <w:b/>
          <w:sz w:val="26"/>
          <w:szCs w:val="26"/>
          <w:u w:val="single"/>
        </w:rPr>
        <w:t xml:space="preserve">NFF </w:t>
      </w:r>
      <w:r w:rsidRPr="00A67953">
        <w:rPr>
          <w:rFonts w:cs="Arial"/>
          <w:b/>
          <w:sz w:val="26"/>
          <w:szCs w:val="26"/>
          <w:u w:val="single"/>
        </w:rPr>
        <w:t>High Needs Block allocation</w:t>
      </w:r>
      <w:r>
        <w:rPr>
          <w:rFonts w:cs="Arial"/>
          <w:sz w:val="26"/>
          <w:szCs w:val="26"/>
        </w:rPr>
        <w:tab/>
      </w:r>
      <w:r w:rsidRPr="00A67953">
        <w:rPr>
          <w:rFonts w:cs="Arial"/>
          <w:b/>
          <w:sz w:val="26"/>
          <w:szCs w:val="26"/>
          <w:u w:val="single"/>
        </w:rPr>
        <w:t>Appendix 1</w:t>
      </w:r>
    </w:p>
    <w:p w:rsidRPr="004B2760" w:rsidR="00441638" w:rsidP="00441638" w:rsidRDefault="00441638">
      <w:pPr>
        <w:rPr>
          <w:rFonts w:cs="Arial"/>
          <w:sz w:val="14"/>
          <w:szCs w:val="26"/>
        </w:rPr>
      </w:pPr>
      <w:r>
        <w:rPr>
          <w:rFonts w:cs="Arial"/>
          <w:sz w:val="26"/>
          <w:szCs w:val="26"/>
        </w:rPr>
        <w:tab/>
      </w:r>
      <w:r>
        <w:rPr>
          <w:rFonts w:cs="Arial"/>
          <w:sz w:val="26"/>
          <w:szCs w:val="26"/>
        </w:rPr>
        <w:tab/>
      </w:r>
    </w:p>
    <w:tbl>
      <w:tblPr>
        <w:tblStyle w:val="TableGrid"/>
        <w:tblW w:w="12975" w:type="dxa"/>
        <w:tblInd w:w="-318" w:type="dxa"/>
        <w:tblLook w:val="04A0" w:firstRow="1" w:lastRow="0" w:firstColumn="1" w:lastColumn="0" w:noHBand="0" w:noVBand="1"/>
      </w:tblPr>
      <w:tblGrid>
        <w:gridCol w:w="6522"/>
        <w:gridCol w:w="1540"/>
        <w:gridCol w:w="236"/>
        <w:gridCol w:w="1559"/>
        <w:gridCol w:w="1559"/>
        <w:gridCol w:w="1559"/>
      </w:tblGrid>
      <w:tr w:rsidRPr="005E14A1" w:rsidR="00441638" w:rsidTr="00A67953">
        <w:tc>
          <w:tcPr>
            <w:tcW w:w="6522" w:type="dxa"/>
          </w:tcPr>
          <w:p w:rsidRPr="005E14A1" w:rsidR="00441638" w:rsidP="00441638" w:rsidRDefault="00441638">
            <w:pPr>
              <w:rPr>
                <w:rFonts w:ascii="Arial" w:hAnsi="Arial" w:cs="Arial"/>
                <w:b/>
                <w:sz w:val="26"/>
                <w:szCs w:val="26"/>
              </w:rPr>
            </w:pPr>
          </w:p>
          <w:p w:rsidRPr="005E14A1" w:rsidR="00441638" w:rsidP="00441638" w:rsidRDefault="00441638">
            <w:pPr>
              <w:rPr>
                <w:rFonts w:ascii="Arial" w:hAnsi="Arial" w:cs="Arial"/>
                <w:b/>
                <w:sz w:val="26"/>
                <w:szCs w:val="26"/>
              </w:rPr>
            </w:pPr>
            <w:r w:rsidRPr="005E14A1">
              <w:rPr>
                <w:rFonts w:ascii="Arial" w:hAnsi="Arial" w:cs="Arial"/>
                <w:b/>
                <w:sz w:val="26"/>
                <w:szCs w:val="26"/>
              </w:rPr>
              <w:t>Indicator</w:t>
            </w:r>
          </w:p>
        </w:tc>
        <w:tc>
          <w:tcPr>
            <w:tcW w:w="1540" w:type="dxa"/>
          </w:tcPr>
          <w:p w:rsidRPr="005E14A1" w:rsidR="00441638" w:rsidP="00441638" w:rsidRDefault="00441638">
            <w:pPr>
              <w:jc w:val="right"/>
              <w:rPr>
                <w:rFonts w:ascii="Arial" w:hAnsi="Arial" w:cs="Arial"/>
                <w:b/>
                <w:sz w:val="26"/>
                <w:szCs w:val="26"/>
              </w:rPr>
            </w:pPr>
            <w:r>
              <w:rPr>
                <w:rFonts w:ascii="Arial" w:hAnsi="Arial" w:cs="Arial"/>
                <w:b/>
                <w:sz w:val="26"/>
                <w:szCs w:val="26"/>
              </w:rPr>
              <w:t xml:space="preserve">Original </w:t>
            </w:r>
            <w:r w:rsidRPr="005E14A1">
              <w:rPr>
                <w:rFonts w:ascii="Arial" w:hAnsi="Arial" w:cs="Arial"/>
                <w:b/>
                <w:sz w:val="26"/>
                <w:szCs w:val="26"/>
              </w:rPr>
              <w:t>Multiplier  (£)</w:t>
            </w:r>
          </w:p>
        </w:tc>
        <w:tc>
          <w:tcPr>
            <w:tcW w:w="236" w:type="dxa"/>
            <w:shd w:val="clear" w:color="auto" w:fill="A6A6A6" w:themeFill="background1" w:themeFillShade="A6"/>
          </w:tcPr>
          <w:p w:rsidR="00441638" w:rsidP="00441638" w:rsidRDefault="00441638">
            <w:pPr>
              <w:jc w:val="right"/>
              <w:rPr>
                <w:rFonts w:cs="Arial"/>
                <w:b/>
                <w:sz w:val="26"/>
                <w:szCs w:val="26"/>
              </w:rPr>
            </w:pPr>
          </w:p>
        </w:tc>
        <w:tc>
          <w:tcPr>
            <w:tcW w:w="1559" w:type="dxa"/>
          </w:tcPr>
          <w:p w:rsidRPr="005E14A1" w:rsidR="00441638" w:rsidP="00441638" w:rsidRDefault="00441638">
            <w:pPr>
              <w:jc w:val="right"/>
              <w:rPr>
                <w:rFonts w:ascii="Arial" w:hAnsi="Arial" w:cs="Arial"/>
                <w:b/>
                <w:sz w:val="26"/>
                <w:szCs w:val="26"/>
              </w:rPr>
            </w:pPr>
            <w:r>
              <w:rPr>
                <w:rFonts w:ascii="Arial" w:hAnsi="Arial" w:cs="Arial"/>
                <w:b/>
                <w:sz w:val="26"/>
                <w:szCs w:val="26"/>
              </w:rPr>
              <w:t xml:space="preserve">Revised </w:t>
            </w:r>
            <w:r w:rsidRPr="005E14A1">
              <w:rPr>
                <w:rFonts w:ascii="Arial" w:hAnsi="Arial" w:cs="Arial"/>
                <w:b/>
                <w:sz w:val="26"/>
                <w:szCs w:val="26"/>
              </w:rPr>
              <w:t>Multiplier  (£)</w:t>
            </w:r>
          </w:p>
        </w:tc>
        <w:tc>
          <w:tcPr>
            <w:tcW w:w="1559" w:type="dxa"/>
          </w:tcPr>
          <w:p w:rsidR="00912437" w:rsidP="00441638" w:rsidRDefault="00912437">
            <w:pPr>
              <w:jc w:val="right"/>
              <w:rPr>
                <w:rFonts w:ascii="Arial" w:hAnsi="Arial" w:cs="Arial"/>
                <w:b/>
                <w:sz w:val="26"/>
                <w:szCs w:val="26"/>
              </w:rPr>
            </w:pPr>
          </w:p>
          <w:p w:rsidR="00912437" w:rsidP="00441638" w:rsidRDefault="00912437">
            <w:pPr>
              <w:jc w:val="right"/>
              <w:rPr>
                <w:rFonts w:ascii="Arial" w:hAnsi="Arial" w:cs="Arial"/>
                <w:b/>
                <w:sz w:val="26"/>
                <w:szCs w:val="26"/>
              </w:rPr>
            </w:pPr>
          </w:p>
          <w:p w:rsidRPr="005E14A1" w:rsidR="00441638" w:rsidP="00441638" w:rsidRDefault="00441638">
            <w:pPr>
              <w:jc w:val="right"/>
              <w:rPr>
                <w:rFonts w:ascii="Arial" w:hAnsi="Arial" w:cs="Arial"/>
                <w:b/>
                <w:sz w:val="26"/>
                <w:szCs w:val="26"/>
              </w:rPr>
            </w:pPr>
            <w:r w:rsidRPr="005E14A1">
              <w:rPr>
                <w:rFonts w:ascii="Arial" w:hAnsi="Arial" w:cs="Arial"/>
                <w:b/>
                <w:sz w:val="26"/>
                <w:szCs w:val="26"/>
              </w:rPr>
              <w:t>Count</w:t>
            </w:r>
          </w:p>
        </w:tc>
        <w:tc>
          <w:tcPr>
            <w:tcW w:w="1559" w:type="dxa"/>
          </w:tcPr>
          <w:p w:rsidR="00912437" w:rsidP="00441638" w:rsidRDefault="00912437">
            <w:pPr>
              <w:jc w:val="right"/>
              <w:rPr>
                <w:rFonts w:ascii="Arial" w:hAnsi="Arial" w:cs="Arial"/>
                <w:b/>
                <w:sz w:val="26"/>
                <w:szCs w:val="26"/>
              </w:rPr>
            </w:pPr>
          </w:p>
          <w:p w:rsidRPr="005E14A1" w:rsidR="00441638" w:rsidP="00441638" w:rsidRDefault="00441638">
            <w:pPr>
              <w:jc w:val="right"/>
              <w:rPr>
                <w:rFonts w:ascii="Arial" w:hAnsi="Arial" w:cs="Arial"/>
                <w:b/>
                <w:sz w:val="26"/>
                <w:szCs w:val="26"/>
              </w:rPr>
            </w:pPr>
            <w:r w:rsidRPr="005E14A1">
              <w:rPr>
                <w:rFonts w:ascii="Arial" w:hAnsi="Arial" w:cs="Arial"/>
                <w:b/>
                <w:sz w:val="26"/>
                <w:szCs w:val="26"/>
              </w:rPr>
              <w:t>Allocation (£m)</w:t>
            </w:r>
          </w:p>
        </w:tc>
      </w:tr>
      <w:tr w:rsidRPr="005E14A1" w:rsidR="00441638" w:rsidTr="00A67953">
        <w:tc>
          <w:tcPr>
            <w:tcW w:w="6522" w:type="dxa"/>
          </w:tcPr>
          <w:p w:rsidRPr="005E14A1" w:rsidR="00441638" w:rsidP="00441638" w:rsidRDefault="00441638">
            <w:pPr>
              <w:rPr>
                <w:rFonts w:ascii="Arial" w:hAnsi="Arial" w:cs="Arial"/>
                <w:sz w:val="26"/>
                <w:szCs w:val="26"/>
              </w:rPr>
            </w:pPr>
          </w:p>
        </w:tc>
        <w:tc>
          <w:tcPr>
            <w:tcW w:w="1540" w:type="dxa"/>
          </w:tcPr>
          <w:p w:rsidRPr="005E14A1" w:rsidR="00441638" w:rsidP="00441638" w:rsidRDefault="00441638">
            <w:pPr>
              <w:jc w:val="right"/>
              <w:rPr>
                <w:rFonts w:ascii="Arial" w:hAnsi="Arial" w:cs="Arial"/>
                <w:sz w:val="26"/>
                <w:szCs w:val="26"/>
              </w:rPr>
            </w:pPr>
          </w:p>
        </w:tc>
        <w:tc>
          <w:tcPr>
            <w:tcW w:w="236" w:type="dxa"/>
            <w:shd w:val="clear" w:color="auto" w:fill="A6A6A6" w:themeFill="background1" w:themeFillShade="A6"/>
          </w:tcPr>
          <w:p w:rsidRPr="005E14A1" w:rsidR="00441638" w:rsidP="00441638" w:rsidRDefault="00441638">
            <w:pPr>
              <w:jc w:val="right"/>
              <w:rPr>
                <w:rFonts w:cs="Arial"/>
                <w:sz w:val="26"/>
                <w:szCs w:val="26"/>
              </w:rPr>
            </w:pPr>
          </w:p>
        </w:tc>
        <w:tc>
          <w:tcPr>
            <w:tcW w:w="1559" w:type="dxa"/>
          </w:tcPr>
          <w:p w:rsidRPr="005E14A1" w:rsidR="00441638" w:rsidP="00441638" w:rsidRDefault="00441638">
            <w:pPr>
              <w:jc w:val="right"/>
              <w:rPr>
                <w:rFonts w:ascii="Arial" w:hAnsi="Arial" w:cs="Arial"/>
                <w:sz w:val="26"/>
                <w:szCs w:val="26"/>
              </w:rPr>
            </w:pPr>
          </w:p>
        </w:tc>
        <w:tc>
          <w:tcPr>
            <w:tcW w:w="1559" w:type="dxa"/>
          </w:tcPr>
          <w:p w:rsidRPr="005E14A1" w:rsidR="00441638" w:rsidP="00441638" w:rsidRDefault="00441638">
            <w:pPr>
              <w:jc w:val="right"/>
              <w:rPr>
                <w:rFonts w:ascii="Arial" w:hAnsi="Arial" w:cs="Arial"/>
                <w:sz w:val="26"/>
                <w:szCs w:val="26"/>
              </w:rPr>
            </w:pPr>
          </w:p>
        </w:tc>
        <w:tc>
          <w:tcPr>
            <w:tcW w:w="1559" w:type="dxa"/>
          </w:tcPr>
          <w:p w:rsidRPr="005E14A1" w:rsidR="00441638" w:rsidP="001B6B0D" w:rsidRDefault="00441638">
            <w:pPr>
              <w:jc w:val="right"/>
              <w:rPr>
                <w:rFonts w:ascii="Arial" w:hAnsi="Arial" w:cs="Arial"/>
                <w:sz w:val="26"/>
                <w:szCs w:val="26"/>
              </w:rPr>
            </w:pP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Population aged 2-18</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110.21</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116.91</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145,476</w:t>
            </w: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17.00</w:t>
            </w:r>
            <w:r w:rsidRPr="00912437" w:rsidR="001B6B0D">
              <w:rPr>
                <w:rFonts w:ascii="Arial" w:hAnsi="Arial" w:cs="Arial"/>
                <w:sz w:val="26"/>
                <w:szCs w:val="26"/>
              </w:rPr>
              <w:t>7</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Health &amp; Disability – No. children with bad health</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2,860.00</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3,033.68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670</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2.033</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Health &amp; Disability – No. children claiming DLA</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519.67</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5</w:t>
            </w:r>
            <w:r w:rsidRPr="00912437" w:rsidR="001B6B0D">
              <w:rPr>
                <w:rFonts w:ascii="Arial" w:hAnsi="Arial" w:cs="Arial"/>
                <w:sz w:val="26"/>
                <w:szCs w:val="26"/>
              </w:rPr>
              <w:t>30.41</w:t>
            </w:r>
          </w:p>
        </w:tc>
        <w:tc>
          <w:tcPr>
            <w:tcW w:w="1559" w:type="dxa"/>
          </w:tcPr>
          <w:p w:rsidRPr="00912437" w:rsidR="00441638" w:rsidP="00441638" w:rsidRDefault="001B6B0D">
            <w:pPr>
              <w:jc w:val="right"/>
              <w:rPr>
                <w:rFonts w:ascii="Arial" w:hAnsi="Arial" w:cs="Arial"/>
                <w:sz w:val="26"/>
                <w:szCs w:val="26"/>
              </w:rPr>
            </w:pPr>
            <w:r w:rsidRPr="00912437">
              <w:rPr>
                <w:rFonts w:ascii="Arial" w:hAnsi="Arial" w:cs="Arial"/>
                <w:sz w:val="26"/>
                <w:szCs w:val="26"/>
              </w:rPr>
              <w:t>5,020</w:t>
            </w: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2.</w:t>
            </w:r>
            <w:r w:rsidRPr="00912437" w:rsidR="001B6B0D">
              <w:rPr>
                <w:rFonts w:ascii="Arial" w:hAnsi="Arial" w:cs="Arial"/>
                <w:sz w:val="26"/>
                <w:szCs w:val="26"/>
              </w:rPr>
              <w:t>663</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Free school meals (current)</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214.93</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236.94</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13,533</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3.206</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F</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32.33</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33.79</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15,368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0.519</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E</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42.14</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44.04</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7,654</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0.337</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D</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59.14</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60.13</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8,815</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0.530</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C</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57.95</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64.28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8,208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0.528</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B</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67.72</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70.46</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8,138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0.573</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A</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96.04</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95.82</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758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0.073</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Low Attainment @ KS2</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1,306.40</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1,</w:t>
            </w:r>
            <w:r w:rsidRPr="00912437" w:rsidR="001B6B0D">
              <w:rPr>
                <w:rFonts w:ascii="Arial" w:hAnsi="Arial" w:cs="Arial"/>
                <w:sz w:val="26"/>
                <w:szCs w:val="26"/>
              </w:rPr>
              <w:t>589.16</w:t>
            </w:r>
          </w:p>
        </w:tc>
        <w:tc>
          <w:tcPr>
            <w:tcW w:w="1559" w:type="dxa"/>
          </w:tcPr>
          <w:p w:rsidRPr="00912437" w:rsidR="00441638" w:rsidP="00441638" w:rsidRDefault="001B6B0D">
            <w:pPr>
              <w:jc w:val="right"/>
              <w:rPr>
                <w:rFonts w:ascii="Arial" w:hAnsi="Arial" w:cs="Arial"/>
                <w:sz w:val="26"/>
                <w:szCs w:val="26"/>
              </w:rPr>
            </w:pPr>
            <w:r w:rsidRPr="00912437">
              <w:rPr>
                <w:rFonts w:ascii="Arial" w:hAnsi="Arial" w:cs="Arial"/>
                <w:sz w:val="26"/>
                <w:szCs w:val="26"/>
              </w:rPr>
              <w:t>1,478</w:t>
            </w: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2.</w:t>
            </w:r>
            <w:r w:rsidRPr="00912437" w:rsidR="001B6B0D">
              <w:rPr>
                <w:rFonts w:ascii="Arial" w:hAnsi="Arial" w:cs="Arial"/>
                <w:sz w:val="26"/>
                <w:szCs w:val="26"/>
              </w:rPr>
              <w:t>349</w:t>
            </w:r>
          </w:p>
        </w:tc>
      </w:tr>
      <w:tr w:rsidRPr="005E14A1" w:rsidR="00441638" w:rsidTr="00A67953">
        <w:tc>
          <w:tcPr>
            <w:tcW w:w="6522" w:type="dxa"/>
            <w:tcBorders>
              <w:bottom w:val="single" w:color="auto" w:sz="4" w:space="0"/>
            </w:tcBorders>
          </w:tcPr>
          <w:p w:rsidRPr="00912437" w:rsidR="00441638" w:rsidP="00441638" w:rsidRDefault="00441638">
            <w:pPr>
              <w:rPr>
                <w:rFonts w:ascii="Arial" w:hAnsi="Arial" w:cs="Arial"/>
                <w:sz w:val="26"/>
                <w:szCs w:val="26"/>
              </w:rPr>
            </w:pPr>
            <w:r w:rsidRPr="00912437">
              <w:rPr>
                <w:rFonts w:ascii="Arial" w:hAnsi="Arial" w:cs="Arial"/>
                <w:sz w:val="26"/>
                <w:szCs w:val="26"/>
              </w:rPr>
              <w:t>Low Attainment @ KS4</w:t>
            </w:r>
          </w:p>
        </w:tc>
        <w:tc>
          <w:tcPr>
            <w:tcW w:w="1540" w:type="dxa"/>
            <w:tcBorders>
              <w:bottom w:val="single" w:color="auto" w:sz="4" w:space="0"/>
            </w:tcBorders>
          </w:tcPr>
          <w:p w:rsidRPr="00912437" w:rsidR="00441638" w:rsidP="00441638" w:rsidRDefault="00441638">
            <w:pPr>
              <w:jc w:val="right"/>
              <w:rPr>
                <w:rFonts w:ascii="Arial" w:hAnsi="Arial" w:cs="Arial"/>
                <w:sz w:val="26"/>
                <w:szCs w:val="26"/>
              </w:rPr>
            </w:pPr>
            <w:r w:rsidRPr="00912437">
              <w:rPr>
                <w:rFonts w:ascii="Arial" w:hAnsi="Arial" w:cs="Arial"/>
                <w:sz w:val="26"/>
                <w:szCs w:val="26"/>
              </w:rPr>
              <w:t>1,345.68</w:t>
            </w:r>
          </w:p>
        </w:tc>
        <w:tc>
          <w:tcPr>
            <w:tcW w:w="236" w:type="dxa"/>
            <w:tcBorders>
              <w:bottom w:val="single" w:color="auto" w:sz="4" w:space="0"/>
            </w:tcBorders>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Borders>
              <w:bottom w:val="single" w:color="auto" w:sz="4" w:space="0"/>
            </w:tcBorders>
          </w:tcPr>
          <w:p w:rsidRPr="00912437" w:rsidR="00441638" w:rsidP="001B6B0D" w:rsidRDefault="00441638">
            <w:pPr>
              <w:jc w:val="right"/>
              <w:rPr>
                <w:rFonts w:ascii="Arial" w:hAnsi="Arial" w:cs="Arial"/>
                <w:sz w:val="26"/>
                <w:szCs w:val="26"/>
              </w:rPr>
            </w:pPr>
            <w:r w:rsidRPr="00912437">
              <w:rPr>
                <w:rFonts w:ascii="Arial" w:hAnsi="Arial" w:cs="Arial"/>
                <w:sz w:val="26"/>
                <w:szCs w:val="26"/>
              </w:rPr>
              <w:t>1,3</w:t>
            </w:r>
            <w:r w:rsidRPr="00912437" w:rsidR="001B6B0D">
              <w:rPr>
                <w:rFonts w:ascii="Arial" w:hAnsi="Arial" w:cs="Arial"/>
                <w:sz w:val="26"/>
                <w:szCs w:val="26"/>
              </w:rPr>
              <w:t>17</w:t>
            </w:r>
            <w:r w:rsidRPr="00912437">
              <w:rPr>
                <w:rFonts w:ascii="Arial" w:hAnsi="Arial" w:cs="Arial"/>
                <w:sz w:val="26"/>
                <w:szCs w:val="26"/>
              </w:rPr>
              <w:t>.</w:t>
            </w:r>
            <w:r w:rsidRPr="00912437" w:rsidR="001B6B0D">
              <w:rPr>
                <w:rFonts w:ascii="Arial" w:hAnsi="Arial" w:cs="Arial"/>
                <w:sz w:val="26"/>
                <w:szCs w:val="26"/>
              </w:rPr>
              <w:t>14</w:t>
            </w:r>
          </w:p>
        </w:tc>
        <w:tc>
          <w:tcPr>
            <w:tcW w:w="1559" w:type="dxa"/>
            <w:tcBorders>
              <w:bottom w:val="single" w:color="auto" w:sz="4" w:space="0"/>
            </w:tcBorders>
          </w:tcPr>
          <w:p w:rsidRPr="00912437" w:rsidR="00441638" w:rsidP="001B6B0D" w:rsidRDefault="001B6B0D">
            <w:pPr>
              <w:jc w:val="right"/>
              <w:rPr>
                <w:rFonts w:ascii="Arial" w:hAnsi="Arial" w:cs="Arial"/>
                <w:sz w:val="26"/>
                <w:szCs w:val="26"/>
              </w:rPr>
            </w:pPr>
            <w:r w:rsidRPr="00912437">
              <w:rPr>
                <w:rFonts w:ascii="Arial" w:hAnsi="Arial" w:cs="Arial"/>
                <w:sz w:val="26"/>
                <w:szCs w:val="26"/>
              </w:rPr>
              <w:t>2,2124</w:t>
            </w:r>
          </w:p>
        </w:tc>
        <w:tc>
          <w:tcPr>
            <w:tcW w:w="1559" w:type="dxa"/>
            <w:tcBorders>
              <w:bottom w:val="single" w:color="auto" w:sz="4" w:space="0"/>
            </w:tcBorders>
          </w:tcPr>
          <w:p w:rsidRPr="00912437" w:rsidR="00441638" w:rsidP="001B6B0D" w:rsidRDefault="00441638">
            <w:pPr>
              <w:jc w:val="right"/>
              <w:rPr>
                <w:rFonts w:ascii="Arial" w:hAnsi="Arial" w:cs="Arial"/>
                <w:sz w:val="26"/>
                <w:szCs w:val="26"/>
              </w:rPr>
            </w:pPr>
            <w:r w:rsidRPr="00912437">
              <w:rPr>
                <w:rFonts w:ascii="Arial" w:hAnsi="Arial" w:cs="Arial"/>
                <w:sz w:val="26"/>
                <w:szCs w:val="26"/>
              </w:rPr>
              <w:t>2.</w:t>
            </w:r>
            <w:r w:rsidRPr="00912437" w:rsidR="001B6B0D">
              <w:rPr>
                <w:rFonts w:ascii="Arial" w:hAnsi="Arial" w:cs="Arial"/>
                <w:sz w:val="26"/>
                <w:szCs w:val="26"/>
              </w:rPr>
              <w:t>798</w:t>
            </w:r>
          </w:p>
        </w:tc>
      </w:tr>
      <w:tr w:rsidRPr="005E14A1" w:rsidR="00441638" w:rsidTr="00A67953">
        <w:tc>
          <w:tcPr>
            <w:tcW w:w="6522" w:type="dxa"/>
            <w:shd w:val="clear" w:color="auto" w:fill="auto"/>
          </w:tcPr>
          <w:p w:rsidRPr="00912437" w:rsidR="00441638" w:rsidP="00441638" w:rsidRDefault="00441638">
            <w:pPr>
              <w:rPr>
                <w:rFonts w:ascii="Arial" w:hAnsi="Arial" w:cs="Arial"/>
                <w:sz w:val="26"/>
                <w:szCs w:val="26"/>
              </w:rPr>
            </w:pPr>
            <w:r w:rsidRPr="00912437">
              <w:rPr>
                <w:rFonts w:ascii="Arial" w:hAnsi="Arial" w:cs="Arial"/>
                <w:sz w:val="26"/>
                <w:szCs w:val="26"/>
              </w:rPr>
              <w:t>Historic spend</w:t>
            </w:r>
          </w:p>
        </w:tc>
        <w:tc>
          <w:tcPr>
            <w:tcW w:w="1540" w:type="dxa"/>
            <w:shd w:val="clear" w:color="auto" w:fill="auto"/>
          </w:tcPr>
          <w:p w:rsidRPr="00912437" w:rsidR="00441638" w:rsidP="00441638" w:rsidRDefault="00441638">
            <w:pPr>
              <w:jc w:val="right"/>
              <w:rPr>
                <w:rFonts w:ascii="Arial" w:hAnsi="Arial" w:cs="Arial"/>
                <w:sz w:val="26"/>
                <w:szCs w:val="26"/>
              </w:rPr>
            </w:pPr>
            <w:r w:rsidRPr="00912437">
              <w:rPr>
                <w:rFonts w:ascii="Arial" w:hAnsi="Arial" w:cs="Arial"/>
                <w:sz w:val="26"/>
                <w:szCs w:val="26"/>
              </w:rPr>
              <w:t>-</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shd w:val="clear" w:color="auto" w:fill="auto"/>
          </w:tcPr>
          <w:p w:rsidRPr="00912437" w:rsidR="00441638" w:rsidP="00441638" w:rsidRDefault="00441638">
            <w:pPr>
              <w:jc w:val="right"/>
              <w:rPr>
                <w:rFonts w:ascii="Arial" w:hAnsi="Arial" w:cs="Arial"/>
                <w:sz w:val="26"/>
                <w:szCs w:val="26"/>
              </w:rPr>
            </w:pPr>
          </w:p>
        </w:tc>
        <w:tc>
          <w:tcPr>
            <w:tcW w:w="1559" w:type="dxa"/>
            <w:shd w:val="clear" w:color="auto" w:fill="auto"/>
          </w:tcPr>
          <w:p w:rsidRPr="00912437" w:rsidR="00441638" w:rsidP="00441638" w:rsidRDefault="00441638">
            <w:pPr>
              <w:jc w:val="right"/>
              <w:rPr>
                <w:rFonts w:ascii="Arial" w:hAnsi="Arial" w:cs="Arial"/>
                <w:sz w:val="26"/>
                <w:szCs w:val="26"/>
              </w:rPr>
            </w:pPr>
            <w:r w:rsidRPr="00912437">
              <w:rPr>
                <w:rFonts w:ascii="Arial" w:hAnsi="Arial" w:cs="Arial"/>
                <w:sz w:val="26"/>
                <w:szCs w:val="26"/>
              </w:rPr>
              <w:t>-</w:t>
            </w:r>
          </w:p>
        </w:tc>
        <w:tc>
          <w:tcPr>
            <w:tcW w:w="1559" w:type="dxa"/>
            <w:shd w:val="clear" w:color="auto" w:fill="auto"/>
          </w:tcPr>
          <w:p w:rsidRPr="00912437" w:rsidR="00441638" w:rsidP="001B6B0D" w:rsidRDefault="00441638">
            <w:pPr>
              <w:jc w:val="right"/>
              <w:rPr>
                <w:rFonts w:ascii="Arial" w:hAnsi="Arial" w:cs="Arial"/>
                <w:sz w:val="26"/>
                <w:szCs w:val="26"/>
              </w:rPr>
            </w:pPr>
            <w:r w:rsidRPr="00912437">
              <w:rPr>
                <w:rFonts w:ascii="Arial" w:hAnsi="Arial" w:cs="Arial"/>
                <w:sz w:val="26"/>
                <w:szCs w:val="26"/>
              </w:rPr>
              <w:t>3</w:t>
            </w:r>
            <w:r w:rsidRPr="00912437" w:rsidR="001B6B0D">
              <w:rPr>
                <w:rFonts w:ascii="Arial" w:hAnsi="Arial" w:cs="Arial"/>
                <w:sz w:val="26"/>
                <w:szCs w:val="26"/>
              </w:rPr>
              <w:t>3</w:t>
            </w:r>
            <w:r w:rsidRPr="00912437">
              <w:rPr>
                <w:rFonts w:ascii="Arial" w:hAnsi="Arial" w:cs="Arial"/>
                <w:sz w:val="26"/>
                <w:szCs w:val="26"/>
              </w:rPr>
              <w:t>.</w:t>
            </w:r>
            <w:r w:rsidRPr="00912437" w:rsidR="001B6B0D">
              <w:rPr>
                <w:rFonts w:ascii="Arial" w:hAnsi="Arial" w:cs="Arial"/>
                <w:sz w:val="26"/>
                <w:szCs w:val="26"/>
              </w:rPr>
              <w:t>025</w:t>
            </w:r>
          </w:p>
        </w:tc>
      </w:tr>
      <w:tr w:rsidRPr="005E14A1" w:rsidR="00A67953" w:rsidTr="00A67953">
        <w:tc>
          <w:tcPr>
            <w:tcW w:w="6522" w:type="dxa"/>
          </w:tcPr>
          <w:p w:rsidRPr="00912437" w:rsidR="00A67953" w:rsidP="00A67953" w:rsidRDefault="00A67953">
            <w:pPr>
              <w:rPr>
                <w:rFonts w:ascii="Arial" w:hAnsi="Arial" w:cs="Arial"/>
                <w:sz w:val="26"/>
                <w:szCs w:val="26"/>
              </w:rPr>
            </w:pPr>
            <w:r w:rsidRPr="00912437">
              <w:rPr>
                <w:rFonts w:ascii="Arial" w:hAnsi="Arial" w:cs="Arial"/>
                <w:sz w:val="26"/>
                <w:szCs w:val="26"/>
              </w:rPr>
              <w:t>Funding floor</w:t>
            </w:r>
          </w:p>
        </w:tc>
        <w:tc>
          <w:tcPr>
            <w:tcW w:w="1540"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w:t>
            </w:r>
          </w:p>
        </w:tc>
        <w:tc>
          <w:tcPr>
            <w:tcW w:w="236" w:type="dxa"/>
            <w:shd w:val="clear" w:color="auto" w:fill="A6A6A6" w:themeFill="background1" w:themeFillShade="A6"/>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0.628</w:t>
            </w:r>
          </w:p>
        </w:tc>
      </w:tr>
      <w:tr w:rsidRPr="005E14A1" w:rsidR="00A67953" w:rsidTr="00A67953">
        <w:tc>
          <w:tcPr>
            <w:tcW w:w="6522" w:type="dxa"/>
          </w:tcPr>
          <w:p w:rsidRPr="00912437" w:rsidR="00A67953" w:rsidP="00A67953" w:rsidRDefault="00A67953">
            <w:pPr>
              <w:rPr>
                <w:rFonts w:ascii="Arial" w:hAnsi="Arial" w:cs="Arial"/>
                <w:sz w:val="26"/>
                <w:szCs w:val="26"/>
              </w:rPr>
            </w:pPr>
            <w:r w:rsidRPr="00912437">
              <w:rPr>
                <w:rFonts w:ascii="Arial" w:hAnsi="Arial" w:cs="Arial"/>
                <w:sz w:val="26"/>
                <w:szCs w:val="26"/>
              </w:rPr>
              <w:t>Hospital Education</w:t>
            </w:r>
          </w:p>
        </w:tc>
        <w:tc>
          <w:tcPr>
            <w:tcW w:w="1540"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w:t>
            </w:r>
          </w:p>
        </w:tc>
        <w:tc>
          <w:tcPr>
            <w:tcW w:w="236" w:type="dxa"/>
            <w:shd w:val="clear" w:color="auto" w:fill="A6A6A6" w:themeFill="background1" w:themeFillShade="A6"/>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0.050</w:t>
            </w:r>
          </w:p>
        </w:tc>
      </w:tr>
      <w:tr w:rsidRPr="005E14A1" w:rsidR="00A67953" w:rsidTr="00A67953">
        <w:tc>
          <w:tcPr>
            <w:tcW w:w="6522" w:type="dxa"/>
          </w:tcPr>
          <w:p w:rsidRPr="00912437" w:rsidR="00A67953" w:rsidP="00A67953" w:rsidRDefault="00A67953">
            <w:pPr>
              <w:rPr>
                <w:rFonts w:ascii="Arial" w:hAnsi="Arial" w:cs="Arial"/>
                <w:sz w:val="26"/>
                <w:szCs w:val="26"/>
              </w:rPr>
            </w:pPr>
            <w:r w:rsidRPr="00912437">
              <w:rPr>
                <w:rFonts w:ascii="Arial" w:hAnsi="Arial" w:cs="Arial"/>
                <w:sz w:val="26"/>
                <w:szCs w:val="26"/>
              </w:rPr>
              <w:t>Basic entitlement – no. pupils in spec. schools/post 16</w:t>
            </w:r>
          </w:p>
        </w:tc>
        <w:tc>
          <w:tcPr>
            <w:tcW w:w="1540"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4,000.00</w:t>
            </w:r>
          </w:p>
        </w:tc>
        <w:tc>
          <w:tcPr>
            <w:tcW w:w="236" w:type="dxa"/>
            <w:shd w:val="clear" w:color="auto" w:fill="A6A6A6" w:themeFill="background1" w:themeFillShade="A6"/>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4,000.00</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925</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3.700</w:t>
            </w:r>
          </w:p>
        </w:tc>
      </w:tr>
      <w:tr w:rsidRPr="005E14A1" w:rsidR="00A67953" w:rsidTr="00A67953">
        <w:tc>
          <w:tcPr>
            <w:tcW w:w="6522" w:type="dxa"/>
          </w:tcPr>
          <w:p w:rsidRPr="00912437" w:rsidR="00A67953" w:rsidP="00A67953" w:rsidRDefault="00A67953">
            <w:pPr>
              <w:rPr>
                <w:rFonts w:ascii="Arial" w:hAnsi="Arial" w:cs="Arial"/>
                <w:b/>
                <w:sz w:val="26"/>
                <w:szCs w:val="26"/>
              </w:rPr>
            </w:pPr>
            <w:r w:rsidRPr="00912437">
              <w:rPr>
                <w:rFonts w:ascii="Arial" w:hAnsi="Arial" w:cs="Arial"/>
                <w:b/>
                <w:sz w:val="26"/>
                <w:szCs w:val="26"/>
              </w:rPr>
              <w:t>Sub total before import/export adjustment</w:t>
            </w:r>
          </w:p>
        </w:tc>
        <w:tc>
          <w:tcPr>
            <w:tcW w:w="1540" w:type="dxa"/>
          </w:tcPr>
          <w:p w:rsidRPr="00912437" w:rsidR="00A67953" w:rsidP="00A67953" w:rsidRDefault="00A67953">
            <w:pPr>
              <w:jc w:val="right"/>
              <w:rPr>
                <w:rFonts w:ascii="Arial" w:hAnsi="Arial" w:cs="Arial"/>
                <w:b/>
                <w:sz w:val="26"/>
                <w:szCs w:val="26"/>
              </w:rPr>
            </w:pPr>
          </w:p>
        </w:tc>
        <w:tc>
          <w:tcPr>
            <w:tcW w:w="236" w:type="dxa"/>
            <w:shd w:val="clear" w:color="auto" w:fill="A6A6A6" w:themeFill="background1" w:themeFillShade="A6"/>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r w:rsidRPr="00912437">
              <w:rPr>
                <w:rFonts w:ascii="Arial" w:hAnsi="Arial" w:cs="Arial"/>
                <w:b/>
                <w:sz w:val="26"/>
                <w:szCs w:val="26"/>
              </w:rPr>
              <w:t>70.019</w:t>
            </w:r>
          </w:p>
        </w:tc>
      </w:tr>
      <w:tr w:rsidRPr="005E14A1" w:rsidR="00A67953" w:rsidTr="00A67953">
        <w:tc>
          <w:tcPr>
            <w:tcW w:w="6522" w:type="dxa"/>
          </w:tcPr>
          <w:p w:rsidRPr="00912437" w:rsidR="00A67953" w:rsidP="00A67953" w:rsidRDefault="00A67953">
            <w:pPr>
              <w:rPr>
                <w:rFonts w:ascii="Arial" w:hAnsi="Arial" w:cs="Arial"/>
                <w:sz w:val="26"/>
                <w:szCs w:val="26"/>
              </w:rPr>
            </w:pPr>
            <w:r w:rsidRPr="00912437">
              <w:rPr>
                <w:rFonts w:ascii="Arial" w:hAnsi="Arial" w:cs="Arial"/>
                <w:sz w:val="26"/>
                <w:szCs w:val="26"/>
              </w:rPr>
              <w:t>Import/export adjustment</w:t>
            </w:r>
          </w:p>
        </w:tc>
        <w:tc>
          <w:tcPr>
            <w:tcW w:w="1540" w:type="dxa"/>
          </w:tcPr>
          <w:p w:rsidRPr="00912437" w:rsidR="00A67953" w:rsidP="00A67953" w:rsidRDefault="00A67953">
            <w:pPr>
              <w:jc w:val="right"/>
              <w:rPr>
                <w:rFonts w:ascii="Arial" w:hAnsi="Arial" w:cs="Arial"/>
                <w:sz w:val="26"/>
                <w:szCs w:val="26"/>
              </w:rPr>
            </w:pPr>
          </w:p>
        </w:tc>
        <w:tc>
          <w:tcPr>
            <w:tcW w:w="236" w:type="dxa"/>
            <w:shd w:val="clear" w:color="auto" w:fill="A6A6A6" w:themeFill="background1" w:themeFillShade="A6"/>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6,000.00</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-241</w:t>
            </w:r>
          </w:p>
        </w:tc>
        <w:tc>
          <w:tcPr>
            <w:tcW w:w="1559" w:type="dxa"/>
          </w:tcPr>
          <w:p w:rsidRPr="005C2661" w:rsidR="00A67953" w:rsidP="00A67953" w:rsidRDefault="00A67953">
            <w:pPr>
              <w:jc w:val="right"/>
              <w:rPr>
                <w:rFonts w:ascii="Arial" w:hAnsi="Arial" w:cs="Arial"/>
                <w:sz w:val="26"/>
                <w:szCs w:val="26"/>
              </w:rPr>
            </w:pPr>
            <w:r w:rsidRPr="005C2661">
              <w:rPr>
                <w:rFonts w:ascii="Arial" w:hAnsi="Arial" w:cs="Arial"/>
                <w:sz w:val="26"/>
                <w:szCs w:val="26"/>
              </w:rPr>
              <w:t>-1.446</w:t>
            </w:r>
          </w:p>
        </w:tc>
      </w:tr>
      <w:tr w:rsidRPr="005E14A1" w:rsidR="00A67953" w:rsidTr="00A67953">
        <w:tc>
          <w:tcPr>
            <w:tcW w:w="6522" w:type="dxa"/>
          </w:tcPr>
          <w:p w:rsidRPr="00912437" w:rsidR="00A67953" w:rsidP="00A67953" w:rsidRDefault="00A67953">
            <w:pPr>
              <w:rPr>
                <w:rFonts w:ascii="Arial" w:hAnsi="Arial" w:cs="Arial"/>
                <w:b/>
                <w:sz w:val="26"/>
                <w:szCs w:val="26"/>
              </w:rPr>
            </w:pPr>
            <w:r w:rsidRPr="00912437">
              <w:rPr>
                <w:rFonts w:ascii="Arial" w:hAnsi="Arial" w:cs="Arial"/>
                <w:b/>
                <w:sz w:val="26"/>
                <w:szCs w:val="26"/>
              </w:rPr>
              <w:t>Total High Needs Block</w:t>
            </w:r>
          </w:p>
        </w:tc>
        <w:tc>
          <w:tcPr>
            <w:tcW w:w="1540" w:type="dxa"/>
          </w:tcPr>
          <w:p w:rsidRPr="00912437" w:rsidR="00A67953" w:rsidP="00A67953" w:rsidRDefault="00A67953">
            <w:pPr>
              <w:jc w:val="right"/>
              <w:rPr>
                <w:rFonts w:ascii="Arial" w:hAnsi="Arial" w:cs="Arial"/>
                <w:b/>
                <w:sz w:val="26"/>
                <w:szCs w:val="26"/>
              </w:rPr>
            </w:pPr>
          </w:p>
        </w:tc>
        <w:tc>
          <w:tcPr>
            <w:tcW w:w="236" w:type="dxa"/>
            <w:shd w:val="clear" w:color="auto" w:fill="A6A6A6" w:themeFill="background1" w:themeFillShade="A6"/>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p>
        </w:tc>
        <w:tc>
          <w:tcPr>
            <w:tcW w:w="1559" w:type="dxa"/>
          </w:tcPr>
          <w:p w:rsidRPr="005C2661" w:rsidR="00A67953" w:rsidP="00A67953" w:rsidRDefault="00A67953">
            <w:pPr>
              <w:jc w:val="right"/>
              <w:rPr>
                <w:rFonts w:ascii="Arial" w:hAnsi="Arial" w:cs="Arial"/>
                <w:b/>
                <w:sz w:val="26"/>
                <w:szCs w:val="26"/>
              </w:rPr>
            </w:pPr>
            <w:r w:rsidRPr="005C2661">
              <w:rPr>
                <w:rFonts w:ascii="Arial" w:hAnsi="Arial" w:cs="Arial"/>
                <w:b/>
                <w:sz w:val="26"/>
                <w:szCs w:val="26"/>
              </w:rPr>
              <w:t>68.573</w:t>
            </w:r>
          </w:p>
        </w:tc>
      </w:tr>
      <w:tr w:rsidRPr="005E14A1" w:rsidR="00912437" w:rsidTr="00A67953">
        <w:tc>
          <w:tcPr>
            <w:tcW w:w="6522" w:type="dxa"/>
          </w:tcPr>
          <w:p w:rsidRPr="00912437" w:rsidR="00912437" w:rsidP="004B2760" w:rsidRDefault="00912437">
            <w:pPr>
              <w:rPr>
                <w:rFonts w:ascii="Arial" w:hAnsi="Arial" w:cs="Arial"/>
                <w:b/>
                <w:sz w:val="26"/>
                <w:szCs w:val="26"/>
              </w:rPr>
            </w:pPr>
            <w:r w:rsidRPr="00912437">
              <w:rPr>
                <w:rFonts w:ascii="Arial" w:hAnsi="Arial" w:cs="Arial"/>
                <w:b/>
                <w:sz w:val="26"/>
                <w:szCs w:val="26"/>
              </w:rPr>
              <w:t>Adjusted 2017-18 baseline</w:t>
            </w:r>
            <w:r w:rsidR="00DA3B02">
              <w:rPr>
                <w:rFonts w:ascii="Arial" w:hAnsi="Arial" w:cs="Arial"/>
                <w:b/>
                <w:sz w:val="26"/>
                <w:szCs w:val="26"/>
              </w:rPr>
              <w:t xml:space="preserve">) see </w:t>
            </w:r>
            <w:r w:rsidR="004B2760">
              <w:rPr>
                <w:rFonts w:ascii="Arial" w:hAnsi="Arial" w:cs="Arial"/>
                <w:b/>
                <w:sz w:val="26"/>
                <w:szCs w:val="26"/>
              </w:rPr>
              <w:t>below</w:t>
            </w:r>
          </w:p>
        </w:tc>
        <w:tc>
          <w:tcPr>
            <w:tcW w:w="1540" w:type="dxa"/>
          </w:tcPr>
          <w:p w:rsidRPr="00912437" w:rsidR="00912437" w:rsidP="00A67953" w:rsidRDefault="00912437">
            <w:pPr>
              <w:jc w:val="right"/>
              <w:rPr>
                <w:rFonts w:ascii="Arial" w:hAnsi="Arial" w:cs="Arial"/>
                <w:b/>
                <w:sz w:val="26"/>
                <w:szCs w:val="26"/>
              </w:rPr>
            </w:pPr>
          </w:p>
        </w:tc>
        <w:tc>
          <w:tcPr>
            <w:tcW w:w="236" w:type="dxa"/>
            <w:shd w:val="clear" w:color="auto" w:fill="A6A6A6" w:themeFill="background1" w:themeFillShade="A6"/>
          </w:tcPr>
          <w:p w:rsidRPr="00912437" w:rsidR="00912437" w:rsidP="00A67953" w:rsidRDefault="00912437">
            <w:pPr>
              <w:jc w:val="right"/>
              <w:rPr>
                <w:rFonts w:ascii="Arial" w:hAnsi="Arial" w:cs="Arial"/>
                <w:b/>
                <w:sz w:val="26"/>
                <w:szCs w:val="26"/>
              </w:rPr>
            </w:pPr>
          </w:p>
        </w:tc>
        <w:tc>
          <w:tcPr>
            <w:tcW w:w="1559" w:type="dxa"/>
          </w:tcPr>
          <w:p w:rsidRPr="00912437" w:rsidR="00912437" w:rsidP="00A67953" w:rsidRDefault="00912437">
            <w:pPr>
              <w:jc w:val="right"/>
              <w:rPr>
                <w:rFonts w:ascii="Arial" w:hAnsi="Arial" w:cs="Arial"/>
                <w:b/>
                <w:sz w:val="26"/>
                <w:szCs w:val="26"/>
              </w:rPr>
            </w:pPr>
          </w:p>
        </w:tc>
        <w:tc>
          <w:tcPr>
            <w:tcW w:w="1559" w:type="dxa"/>
          </w:tcPr>
          <w:p w:rsidRPr="00912437" w:rsidR="00912437" w:rsidP="00A67953" w:rsidRDefault="00912437">
            <w:pPr>
              <w:jc w:val="right"/>
              <w:rPr>
                <w:rFonts w:ascii="Arial" w:hAnsi="Arial" w:cs="Arial"/>
                <w:b/>
                <w:sz w:val="26"/>
                <w:szCs w:val="26"/>
              </w:rPr>
            </w:pPr>
          </w:p>
        </w:tc>
        <w:tc>
          <w:tcPr>
            <w:tcW w:w="1559" w:type="dxa"/>
          </w:tcPr>
          <w:p w:rsidRPr="005C2661" w:rsidR="00912437" w:rsidP="00A67953" w:rsidRDefault="00912437">
            <w:pPr>
              <w:jc w:val="right"/>
              <w:rPr>
                <w:rFonts w:ascii="Arial" w:hAnsi="Arial" w:cs="Arial"/>
                <w:b/>
                <w:sz w:val="26"/>
                <w:szCs w:val="26"/>
              </w:rPr>
            </w:pPr>
            <w:r w:rsidRPr="005C2661">
              <w:rPr>
                <w:rFonts w:ascii="Arial" w:hAnsi="Arial" w:cs="Arial"/>
                <w:b/>
                <w:sz w:val="26"/>
                <w:szCs w:val="26"/>
              </w:rPr>
              <w:t>68.355</w:t>
            </w:r>
          </w:p>
        </w:tc>
      </w:tr>
      <w:tr w:rsidRPr="005E14A1" w:rsidR="00912437" w:rsidTr="00A67953">
        <w:tc>
          <w:tcPr>
            <w:tcW w:w="6522" w:type="dxa"/>
          </w:tcPr>
          <w:p w:rsidRPr="00912437" w:rsidR="00912437" w:rsidP="00A67953" w:rsidRDefault="00912437">
            <w:pPr>
              <w:rPr>
                <w:rFonts w:ascii="Arial" w:hAnsi="Arial" w:cs="Arial"/>
                <w:b/>
                <w:sz w:val="26"/>
                <w:szCs w:val="26"/>
              </w:rPr>
            </w:pPr>
            <w:r>
              <w:rPr>
                <w:rFonts w:ascii="Arial" w:hAnsi="Arial" w:cs="Arial"/>
                <w:b/>
                <w:sz w:val="26"/>
                <w:szCs w:val="26"/>
              </w:rPr>
              <w:t>Change</w:t>
            </w:r>
            <w:r w:rsidR="005C2661">
              <w:rPr>
                <w:rFonts w:ascii="Arial" w:hAnsi="Arial" w:cs="Arial"/>
                <w:b/>
                <w:sz w:val="26"/>
                <w:szCs w:val="26"/>
              </w:rPr>
              <w:t xml:space="preserve"> (£m)</w:t>
            </w:r>
          </w:p>
        </w:tc>
        <w:tc>
          <w:tcPr>
            <w:tcW w:w="1540" w:type="dxa"/>
          </w:tcPr>
          <w:p w:rsidRPr="00912437" w:rsidR="00912437" w:rsidP="00A67953" w:rsidRDefault="00912437">
            <w:pPr>
              <w:jc w:val="right"/>
              <w:rPr>
                <w:rFonts w:ascii="Arial" w:hAnsi="Arial" w:cs="Arial"/>
                <w:b/>
                <w:sz w:val="26"/>
                <w:szCs w:val="26"/>
              </w:rPr>
            </w:pPr>
          </w:p>
        </w:tc>
        <w:tc>
          <w:tcPr>
            <w:tcW w:w="236" w:type="dxa"/>
            <w:shd w:val="clear" w:color="auto" w:fill="A6A6A6" w:themeFill="background1" w:themeFillShade="A6"/>
          </w:tcPr>
          <w:p w:rsidRPr="00912437" w:rsidR="00912437" w:rsidP="00A67953" w:rsidRDefault="00912437">
            <w:pPr>
              <w:jc w:val="right"/>
              <w:rPr>
                <w:rFonts w:ascii="Arial" w:hAnsi="Arial" w:cs="Arial"/>
                <w:b/>
                <w:sz w:val="26"/>
                <w:szCs w:val="26"/>
              </w:rPr>
            </w:pPr>
          </w:p>
        </w:tc>
        <w:tc>
          <w:tcPr>
            <w:tcW w:w="1559" w:type="dxa"/>
          </w:tcPr>
          <w:p w:rsidRPr="00912437" w:rsidR="00912437" w:rsidP="00A67953" w:rsidRDefault="00912437">
            <w:pPr>
              <w:jc w:val="right"/>
              <w:rPr>
                <w:rFonts w:ascii="Arial" w:hAnsi="Arial" w:cs="Arial"/>
                <w:b/>
                <w:sz w:val="26"/>
                <w:szCs w:val="26"/>
              </w:rPr>
            </w:pPr>
          </w:p>
        </w:tc>
        <w:tc>
          <w:tcPr>
            <w:tcW w:w="1559" w:type="dxa"/>
          </w:tcPr>
          <w:p w:rsidRPr="00912437" w:rsidR="00912437" w:rsidP="00A67953" w:rsidRDefault="00912437">
            <w:pPr>
              <w:jc w:val="right"/>
              <w:rPr>
                <w:rFonts w:ascii="Arial" w:hAnsi="Arial" w:cs="Arial"/>
                <w:b/>
                <w:sz w:val="26"/>
                <w:szCs w:val="26"/>
              </w:rPr>
            </w:pPr>
          </w:p>
        </w:tc>
        <w:tc>
          <w:tcPr>
            <w:tcW w:w="1559" w:type="dxa"/>
          </w:tcPr>
          <w:p w:rsidRPr="005C2661" w:rsidR="00912437" w:rsidP="00A67953" w:rsidRDefault="00912437">
            <w:pPr>
              <w:jc w:val="right"/>
              <w:rPr>
                <w:rFonts w:ascii="Arial" w:hAnsi="Arial" w:cs="Arial"/>
                <w:b/>
                <w:sz w:val="26"/>
                <w:szCs w:val="26"/>
              </w:rPr>
            </w:pPr>
            <w:r w:rsidRPr="005C2661">
              <w:rPr>
                <w:rFonts w:ascii="Arial" w:hAnsi="Arial" w:cs="Arial"/>
                <w:b/>
                <w:sz w:val="26"/>
                <w:szCs w:val="26"/>
              </w:rPr>
              <w:t>+0.218</w:t>
            </w:r>
          </w:p>
        </w:tc>
      </w:tr>
      <w:tr w:rsidRPr="005E14A1" w:rsidR="00912437" w:rsidTr="00A67953">
        <w:tc>
          <w:tcPr>
            <w:tcW w:w="6522" w:type="dxa"/>
          </w:tcPr>
          <w:p w:rsidR="00912437" w:rsidP="00A67953" w:rsidRDefault="005C2661">
            <w:pPr>
              <w:rPr>
                <w:rFonts w:cs="Arial"/>
                <w:b/>
                <w:sz w:val="26"/>
                <w:szCs w:val="26"/>
              </w:rPr>
            </w:pPr>
            <w:r>
              <w:rPr>
                <w:rFonts w:ascii="Arial" w:hAnsi="Arial" w:cs="Arial"/>
                <w:b/>
                <w:sz w:val="26"/>
                <w:szCs w:val="26"/>
              </w:rPr>
              <w:t>Change (%)</w:t>
            </w:r>
          </w:p>
        </w:tc>
        <w:tc>
          <w:tcPr>
            <w:tcW w:w="1540" w:type="dxa"/>
          </w:tcPr>
          <w:p w:rsidRPr="00912437" w:rsidR="00912437" w:rsidP="00A67953" w:rsidRDefault="00912437">
            <w:pPr>
              <w:jc w:val="right"/>
              <w:rPr>
                <w:rFonts w:cs="Arial"/>
                <w:b/>
                <w:sz w:val="26"/>
                <w:szCs w:val="26"/>
              </w:rPr>
            </w:pPr>
          </w:p>
        </w:tc>
        <w:tc>
          <w:tcPr>
            <w:tcW w:w="236" w:type="dxa"/>
            <w:shd w:val="clear" w:color="auto" w:fill="A6A6A6" w:themeFill="background1" w:themeFillShade="A6"/>
          </w:tcPr>
          <w:p w:rsidRPr="00912437" w:rsidR="00912437" w:rsidP="00A67953" w:rsidRDefault="00912437">
            <w:pPr>
              <w:jc w:val="right"/>
              <w:rPr>
                <w:rFonts w:cs="Arial"/>
                <w:b/>
                <w:sz w:val="26"/>
                <w:szCs w:val="26"/>
              </w:rPr>
            </w:pPr>
          </w:p>
        </w:tc>
        <w:tc>
          <w:tcPr>
            <w:tcW w:w="1559" w:type="dxa"/>
          </w:tcPr>
          <w:p w:rsidRPr="00912437" w:rsidR="00912437" w:rsidP="00A67953" w:rsidRDefault="00912437">
            <w:pPr>
              <w:jc w:val="right"/>
              <w:rPr>
                <w:rFonts w:cs="Arial"/>
                <w:b/>
                <w:sz w:val="26"/>
                <w:szCs w:val="26"/>
              </w:rPr>
            </w:pPr>
          </w:p>
        </w:tc>
        <w:tc>
          <w:tcPr>
            <w:tcW w:w="1559" w:type="dxa"/>
          </w:tcPr>
          <w:p w:rsidRPr="00912437" w:rsidR="00912437" w:rsidP="00A67953" w:rsidRDefault="00912437">
            <w:pPr>
              <w:jc w:val="right"/>
              <w:rPr>
                <w:rFonts w:cs="Arial"/>
                <w:b/>
                <w:sz w:val="26"/>
                <w:szCs w:val="26"/>
              </w:rPr>
            </w:pPr>
          </w:p>
        </w:tc>
        <w:tc>
          <w:tcPr>
            <w:tcW w:w="1559" w:type="dxa"/>
          </w:tcPr>
          <w:p w:rsidRPr="005C2661" w:rsidR="00912437" w:rsidP="00A67953" w:rsidRDefault="005C2661">
            <w:pPr>
              <w:jc w:val="right"/>
              <w:rPr>
                <w:rFonts w:ascii="Arial" w:hAnsi="Arial" w:cs="Arial"/>
                <w:b/>
                <w:sz w:val="26"/>
                <w:szCs w:val="26"/>
              </w:rPr>
            </w:pPr>
            <w:r w:rsidRPr="005C2661">
              <w:rPr>
                <w:rFonts w:ascii="Arial" w:hAnsi="Arial" w:cs="Arial"/>
                <w:b/>
                <w:sz w:val="26"/>
                <w:szCs w:val="26"/>
              </w:rPr>
              <w:t>+0.3</w:t>
            </w:r>
            <w:r w:rsidR="00582D17">
              <w:rPr>
                <w:rFonts w:ascii="Arial" w:hAnsi="Arial" w:cs="Arial"/>
                <w:b/>
                <w:sz w:val="26"/>
                <w:szCs w:val="26"/>
              </w:rPr>
              <w:t>2</w:t>
            </w:r>
            <w:r w:rsidRPr="005C2661">
              <w:rPr>
                <w:rFonts w:ascii="Arial" w:hAnsi="Arial" w:cs="Arial"/>
                <w:b/>
                <w:sz w:val="26"/>
                <w:szCs w:val="26"/>
              </w:rPr>
              <w:t>%</w:t>
            </w:r>
          </w:p>
        </w:tc>
      </w:tr>
    </w:tbl>
    <w:p w:rsidRPr="004B2760" w:rsidR="004B2760" w:rsidP="004B2760" w:rsidRDefault="004B2760">
      <w:pPr>
        <w:ind w:left="-284"/>
        <w:rPr>
          <w:rFonts w:cs="Arial"/>
          <w:sz w:val="16"/>
          <w:szCs w:val="26"/>
        </w:rPr>
      </w:pPr>
    </w:p>
    <w:p w:rsidR="004B2760" w:rsidP="004B2760" w:rsidRDefault="004B2760">
      <w:pPr>
        <w:ind w:left="-284"/>
        <w:rPr>
          <w:rFonts w:cs="Arial"/>
          <w:sz w:val="26"/>
          <w:szCs w:val="26"/>
        </w:rPr>
      </w:pPr>
      <w:r>
        <w:rPr>
          <w:rFonts w:cs="Arial"/>
          <w:sz w:val="26"/>
          <w:szCs w:val="26"/>
        </w:rPr>
        <w:t>Memo item: Calculation of Derbyshire’s 2017-18 adjusted baseline:</w:t>
      </w:r>
    </w:p>
    <w:p w:rsidRPr="004B2760" w:rsidR="004B2760" w:rsidP="004B2760" w:rsidRDefault="004B2760">
      <w:pPr>
        <w:ind w:left="-284"/>
        <w:rPr>
          <w:rFonts w:cs="Arial"/>
          <w:sz w:val="14"/>
          <w:szCs w:val="26"/>
        </w:rPr>
      </w:pPr>
    </w:p>
    <w:tbl>
      <w:tblPr>
        <w:tblStyle w:val="TableGrid"/>
        <w:tblW w:w="8062" w:type="dxa"/>
        <w:tblInd w:w="-318" w:type="dxa"/>
        <w:tblLook w:val="04A0" w:firstRow="1" w:lastRow="0" w:firstColumn="1" w:lastColumn="0" w:noHBand="0" w:noVBand="1"/>
      </w:tblPr>
      <w:tblGrid>
        <w:gridCol w:w="6522"/>
        <w:gridCol w:w="1540"/>
      </w:tblGrid>
      <w:tr w:rsidRPr="00912437" w:rsidR="004B2760" w:rsidTr="00A77C2B">
        <w:tc>
          <w:tcPr>
            <w:tcW w:w="6522" w:type="dxa"/>
            <w:tcBorders>
              <w:bottom w:val="single" w:color="auto" w:sz="4" w:space="0"/>
            </w:tcBorders>
          </w:tcPr>
          <w:p w:rsidRPr="00DA3B02" w:rsidR="004B2760" w:rsidP="00A77C2B" w:rsidRDefault="004B2760">
            <w:pPr>
              <w:rPr>
                <w:rFonts w:ascii="Arial" w:hAnsi="Arial" w:cs="Arial"/>
                <w:sz w:val="26"/>
                <w:szCs w:val="26"/>
              </w:rPr>
            </w:pPr>
          </w:p>
        </w:tc>
        <w:tc>
          <w:tcPr>
            <w:tcW w:w="1540" w:type="dxa"/>
            <w:tcBorders>
              <w:bottom w:val="single" w:color="auto" w:sz="4" w:space="0"/>
            </w:tcBorders>
          </w:tcPr>
          <w:p w:rsidRPr="00DA3B02" w:rsidR="004B2760" w:rsidP="00A77C2B" w:rsidRDefault="004B2760">
            <w:pPr>
              <w:jc w:val="right"/>
              <w:rPr>
                <w:rFonts w:ascii="Arial" w:hAnsi="Arial" w:cs="Arial"/>
                <w:sz w:val="26"/>
                <w:szCs w:val="26"/>
              </w:rPr>
            </w:pPr>
            <w:r w:rsidRPr="00DA3B02">
              <w:rPr>
                <w:rFonts w:ascii="Arial" w:hAnsi="Arial" w:cs="Arial"/>
                <w:sz w:val="26"/>
                <w:szCs w:val="26"/>
              </w:rPr>
              <w:t>£m</w:t>
            </w:r>
          </w:p>
        </w:tc>
      </w:tr>
      <w:tr w:rsidRPr="00912437" w:rsidR="004B2760" w:rsidTr="00A77C2B">
        <w:tc>
          <w:tcPr>
            <w:tcW w:w="6522" w:type="dxa"/>
            <w:shd w:val="clear" w:color="auto" w:fill="auto"/>
          </w:tcPr>
          <w:p w:rsidRPr="00DA3B02" w:rsidR="004B2760" w:rsidP="00A77C2B" w:rsidRDefault="004B2760">
            <w:pPr>
              <w:rPr>
                <w:rFonts w:ascii="Arial" w:hAnsi="Arial" w:cs="Arial"/>
                <w:sz w:val="26"/>
                <w:szCs w:val="26"/>
              </w:rPr>
            </w:pPr>
            <w:r w:rsidRPr="00DA3B02">
              <w:rPr>
                <w:rFonts w:ascii="Arial" w:hAnsi="Arial" w:cs="Arial"/>
                <w:sz w:val="26"/>
                <w:szCs w:val="26"/>
              </w:rPr>
              <w:t>Original 2017-18 baseline</w:t>
            </w:r>
          </w:p>
        </w:tc>
        <w:tc>
          <w:tcPr>
            <w:tcW w:w="1540" w:type="dxa"/>
            <w:shd w:val="clear" w:color="auto" w:fill="auto"/>
          </w:tcPr>
          <w:p w:rsidRPr="00DA3B02" w:rsidR="004B2760" w:rsidP="00A77C2B" w:rsidRDefault="004B2760">
            <w:pPr>
              <w:jc w:val="right"/>
              <w:rPr>
                <w:rFonts w:ascii="Arial" w:hAnsi="Arial" w:cs="Arial"/>
                <w:sz w:val="26"/>
                <w:szCs w:val="26"/>
              </w:rPr>
            </w:pPr>
            <w:r w:rsidRPr="00DA3B02">
              <w:rPr>
                <w:rFonts w:ascii="Arial" w:hAnsi="Arial" w:cs="Arial"/>
                <w:sz w:val="26"/>
                <w:szCs w:val="26"/>
              </w:rPr>
              <w:t>69.402</w:t>
            </w:r>
          </w:p>
        </w:tc>
      </w:tr>
      <w:tr w:rsidRPr="00912437" w:rsidR="004B2760" w:rsidTr="00A77C2B">
        <w:tc>
          <w:tcPr>
            <w:tcW w:w="6522" w:type="dxa"/>
            <w:shd w:val="clear" w:color="auto" w:fill="auto"/>
          </w:tcPr>
          <w:p w:rsidRPr="00DA3B02" w:rsidR="004B2760" w:rsidP="00A77C2B" w:rsidRDefault="004B2760">
            <w:pPr>
              <w:rPr>
                <w:rFonts w:ascii="Arial" w:hAnsi="Arial" w:cs="Arial"/>
                <w:sz w:val="26"/>
                <w:szCs w:val="26"/>
              </w:rPr>
            </w:pPr>
            <w:r w:rsidRPr="00DA3B02">
              <w:rPr>
                <w:rFonts w:ascii="Arial" w:hAnsi="Arial" w:cs="Arial"/>
                <w:sz w:val="26"/>
                <w:szCs w:val="26"/>
              </w:rPr>
              <w:t xml:space="preserve">Less </w:t>
            </w:r>
            <w:proofErr w:type="spellStart"/>
            <w:r w:rsidRPr="00DA3B02">
              <w:rPr>
                <w:rFonts w:ascii="Arial" w:hAnsi="Arial" w:cs="Arial"/>
                <w:sz w:val="26"/>
                <w:szCs w:val="26"/>
              </w:rPr>
              <w:t>trf</w:t>
            </w:r>
            <w:proofErr w:type="spellEnd"/>
            <w:r w:rsidRPr="00DA3B02">
              <w:rPr>
                <w:rFonts w:ascii="Arial" w:hAnsi="Arial" w:cs="Arial"/>
                <w:sz w:val="26"/>
                <w:szCs w:val="26"/>
              </w:rPr>
              <w:t xml:space="preserve"> to </w:t>
            </w:r>
            <w:r>
              <w:rPr>
                <w:rFonts w:ascii="Arial" w:hAnsi="Arial" w:cs="Arial"/>
                <w:sz w:val="26"/>
                <w:szCs w:val="26"/>
              </w:rPr>
              <w:t>S</w:t>
            </w:r>
            <w:r w:rsidRPr="00DA3B02">
              <w:rPr>
                <w:rFonts w:ascii="Arial" w:hAnsi="Arial" w:cs="Arial"/>
                <w:sz w:val="26"/>
                <w:szCs w:val="26"/>
              </w:rPr>
              <w:t xml:space="preserve">chools </w:t>
            </w:r>
            <w:r>
              <w:rPr>
                <w:rFonts w:ascii="Arial" w:hAnsi="Arial" w:cs="Arial"/>
                <w:sz w:val="26"/>
                <w:szCs w:val="26"/>
              </w:rPr>
              <w:t>B</w:t>
            </w:r>
            <w:r w:rsidRPr="00DA3B02">
              <w:rPr>
                <w:rFonts w:ascii="Arial" w:hAnsi="Arial" w:cs="Arial"/>
                <w:sz w:val="26"/>
                <w:szCs w:val="26"/>
              </w:rPr>
              <w:t>lock for ERS places</w:t>
            </w:r>
          </w:p>
        </w:tc>
        <w:tc>
          <w:tcPr>
            <w:tcW w:w="1540" w:type="dxa"/>
            <w:shd w:val="clear" w:color="auto" w:fill="auto"/>
          </w:tcPr>
          <w:p w:rsidRPr="00DA3B02" w:rsidR="004B2760" w:rsidP="00A77C2B" w:rsidRDefault="004B2760">
            <w:pPr>
              <w:jc w:val="right"/>
              <w:rPr>
                <w:rFonts w:ascii="Arial" w:hAnsi="Arial" w:cs="Arial"/>
                <w:sz w:val="26"/>
                <w:szCs w:val="26"/>
              </w:rPr>
            </w:pPr>
            <w:r>
              <w:rPr>
                <w:rFonts w:ascii="Arial" w:hAnsi="Arial" w:cs="Arial"/>
                <w:sz w:val="26"/>
                <w:szCs w:val="26"/>
              </w:rPr>
              <w:t>(1.047)</w:t>
            </w:r>
          </w:p>
        </w:tc>
      </w:tr>
      <w:tr w:rsidRPr="00912437" w:rsidR="004B2760" w:rsidTr="00A77C2B">
        <w:tc>
          <w:tcPr>
            <w:tcW w:w="6522" w:type="dxa"/>
            <w:shd w:val="clear" w:color="auto" w:fill="auto"/>
          </w:tcPr>
          <w:p w:rsidRPr="00582D17" w:rsidR="004B2760" w:rsidP="00A77C2B" w:rsidRDefault="004B2760">
            <w:pPr>
              <w:rPr>
                <w:rFonts w:ascii="Arial" w:hAnsi="Arial" w:cs="Arial"/>
                <w:b/>
                <w:sz w:val="26"/>
                <w:szCs w:val="26"/>
              </w:rPr>
            </w:pPr>
            <w:r w:rsidRPr="00582D17">
              <w:rPr>
                <w:rFonts w:ascii="Arial" w:hAnsi="Arial" w:cs="Arial"/>
                <w:b/>
                <w:sz w:val="26"/>
                <w:szCs w:val="26"/>
              </w:rPr>
              <w:t>2017-18 adjusted baseline</w:t>
            </w:r>
          </w:p>
        </w:tc>
        <w:tc>
          <w:tcPr>
            <w:tcW w:w="1540" w:type="dxa"/>
            <w:shd w:val="clear" w:color="auto" w:fill="auto"/>
          </w:tcPr>
          <w:p w:rsidRPr="00582D17" w:rsidR="004B2760" w:rsidP="00A77C2B" w:rsidRDefault="004B2760">
            <w:pPr>
              <w:jc w:val="right"/>
              <w:rPr>
                <w:rFonts w:ascii="Arial" w:hAnsi="Arial" w:cs="Arial"/>
                <w:b/>
                <w:sz w:val="26"/>
                <w:szCs w:val="26"/>
              </w:rPr>
            </w:pPr>
            <w:r w:rsidRPr="00582D17">
              <w:rPr>
                <w:rFonts w:ascii="Arial" w:hAnsi="Arial" w:cs="Arial"/>
                <w:b/>
                <w:sz w:val="26"/>
                <w:szCs w:val="26"/>
              </w:rPr>
              <w:t>68.355</w:t>
            </w:r>
          </w:p>
        </w:tc>
      </w:tr>
    </w:tbl>
    <w:p w:rsidRPr="005E14A1" w:rsidR="00DA3B02" w:rsidP="00441638" w:rsidRDefault="00DA3B02">
      <w:pPr>
        <w:ind w:left="709"/>
        <w:jc w:val="center"/>
        <w:rPr>
          <w:rFonts w:cs="Arial"/>
          <w:sz w:val="26"/>
          <w:szCs w:val="26"/>
        </w:rPr>
      </w:pPr>
    </w:p>
    <w:sectPr w:rsidRPr="005E14A1" w:rsidR="00DA3B02" w:rsidSect="004B2760">
      <w:pgSz w:w="16838" w:h="11906" w:orient="landscape"/>
      <w:pgMar w:top="284" w:right="568" w:bottom="567" w:left="1843" w:header="708" w:footer="1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3DD" w:rsidRDefault="00CE73DD" w:rsidP="00912B03">
      <w:r>
        <w:separator/>
      </w:r>
    </w:p>
  </w:endnote>
  <w:endnote w:type="continuationSeparator" w:id="0">
    <w:p w:rsidR="00CE73DD" w:rsidRDefault="00CE73DD" w:rsidP="0091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106973"/>
      <w:docPartObj>
        <w:docPartGallery w:val="Page Numbers (Bottom of Page)"/>
        <w:docPartUnique/>
      </w:docPartObj>
    </w:sdtPr>
    <w:sdtEndPr>
      <w:rPr>
        <w:noProof/>
      </w:rPr>
    </w:sdtEndPr>
    <w:sdtContent>
      <w:p w:rsidR="00CE73DD" w:rsidRDefault="00CE73DD">
        <w:pPr>
          <w:pStyle w:val="Footer"/>
          <w:jc w:val="center"/>
        </w:pPr>
        <w:r>
          <w:fldChar w:fldCharType="begin"/>
        </w:r>
        <w:r>
          <w:instrText xml:space="preserve"> PAGE   \* MERGEFORMAT </w:instrText>
        </w:r>
        <w:r>
          <w:fldChar w:fldCharType="separate"/>
        </w:r>
        <w:r w:rsidR="00112C46">
          <w:rPr>
            <w:noProof/>
          </w:rPr>
          <w:t>5</w:t>
        </w:r>
        <w:r>
          <w:rPr>
            <w:noProof/>
          </w:rPr>
          <w:fldChar w:fldCharType="end"/>
        </w:r>
      </w:p>
    </w:sdtContent>
  </w:sdt>
  <w:p w:rsidR="00CE73DD" w:rsidRDefault="00CE7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3DD" w:rsidRDefault="00CE73DD" w:rsidP="00912B03">
      <w:r>
        <w:separator/>
      </w:r>
    </w:p>
  </w:footnote>
  <w:footnote w:type="continuationSeparator" w:id="0">
    <w:p w:rsidR="00CE73DD" w:rsidRDefault="00CE73DD" w:rsidP="00912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621A8"/>
    <w:multiLevelType w:val="multilevel"/>
    <w:tmpl w:val="C3ECA9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BB7B48"/>
    <w:multiLevelType w:val="hybridMultilevel"/>
    <w:tmpl w:val="72A6D014"/>
    <w:lvl w:ilvl="0" w:tplc="08090005">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 w15:restartNumberingAfterBreak="0">
    <w:nsid w:val="04EF7FB9"/>
    <w:multiLevelType w:val="multilevel"/>
    <w:tmpl w:val="59740D44"/>
    <w:lvl w:ilvl="0">
      <w:start w:val="3"/>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11F801CC"/>
    <w:multiLevelType w:val="hybridMultilevel"/>
    <w:tmpl w:val="1CECDEEA"/>
    <w:lvl w:ilvl="0" w:tplc="249CEA1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487DD0"/>
    <w:multiLevelType w:val="multilevel"/>
    <w:tmpl w:val="AFC0CC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4E3A9A"/>
    <w:multiLevelType w:val="multilevel"/>
    <w:tmpl w:val="B162B0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2D78AB"/>
    <w:multiLevelType w:val="hybridMultilevel"/>
    <w:tmpl w:val="B9709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4D1D54"/>
    <w:multiLevelType w:val="hybridMultilevel"/>
    <w:tmpl w:val="88500EC4"/>
    <w:lvl w:ilvl="0" w:tplc="9EF212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9860A0"/>
    <w:multiLevelType w:val="hybridMultilevel"/>
    <w:tmpl w:val="6DFA8938"/>
    <w:lvl w:ilvl="0" w:tplc="08090005">
      <w:start w:val="1"/>
      <w:numFmt w:val="bullet"/>
      <w:lvlText w:val=""/>
      <w:lvlJc w:val="left"/>
      <w:pPr>
        <w:ind w:left="394" w:hanging="360"/>
      </w:pPr>
      <w:rPr>
        <w:rFonts w:ascii="Wingdings" w:hAnsi="Wingding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0366E8F"/>
    <w:multiLevelType w:val="hybridMultilevel"/>
    <w:tmpl w:val="08CE0CDC"/>
    <w:lvl w:ilvl="0" w:tplc="173481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34F6B"/>
    <w:multiLevelType w:val="hybridMultilevel"/>
    <w:tmpl w:val="0240C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360B3C"/>
    <w:multiLevelType w:val="hybridMultilevel"/>
    <w:tmpl w:val="40265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811F4F"/>
    <w:multiLevelType w:val="hybridMultilevel"/>
    <w:tmpl w:val="8E8AD38A"/>
    <w:lvl w:ilvl="0" w:tplc="9FF05F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EF314B"/>
    <w:multiLevelType w:val="hybridMultilevel"/>
    <w:tmpl w:val="FFFC037C"/>
    <w:lvl w:ilvl="0" w:tplc="B882DB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DF7EE9"/>
    <w:multiLevelType w:val="hybridMultilevel"/>
    <w:tmpl w:val="65888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FD3602F"/>
    <w:multiLevelType w:val="hybridMultilevel"/>
    <w:tmpl w:val="2B305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BD065A"/>
    <w:multiLevelType w:val="hybridMultilevel"/>
    <w:tmpl w:val="A00698E8"/>
    <w:lvl w:ilvl="0" w:tplc="930CA0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E87E2C"/>
    <w:multiLevelType w:val="hybridMultilevel"/>
    <w:tmpl w:val="408EF2BC"/>
    <w:lvl w:ilvl="0" w:tplc="D424F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4F2F09"/>
    <w:multiLevelType w:val="hybridMultilevel"/>
    <w:tmpl w:val="76FC2EBC"/>
    <w:lvl w:ilvl="0" w:tplc="9EF212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445315"/>
    <w:multiLevelType w:val="hybridMultilevel"/>
    <w:tmpl w:val="664CF7E8"/>
    <w:lvl w:ilvl="0" w:tplc="08090013">
      <w:start w:val="1"/>
      <w:numFmt w:val="upperRoman"/>
      <w:lvlText w:val="%1."/>
      <w:lvlJc w:val="right"/>
      <w:pPr>
        <w:ind w:left="1080" w:hanging="72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2F55A4"/>
    <w:multiLevelType w:val="hybridMultilevel"/>
    <w:tmpl w:val="3FC2602E"/>
    <w:lvl w:ilvl="0" w:tplc="0E8C8D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140E8D"/>
    <w:multiLevelType w:val="hybridMultilevel"/>
    <w:tmpl w:val="1A907EBE"/>
    <w:lvl w:ilvl="0" w:tplc="435A38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B338B0"/>
    <w:multiLevelType w:val="multilevel"/>
    <w:tmpl w:val="97E0E9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2160" w:hanging="1080"/>
      </w:pPr>
      <w:rPr>
        <w:rFonts w:hint="default"/>
        <w:u w:val="none"/>
      </w:rPr>
    </w:lvl>
    <w:lvl w:ilvl="4">
      <w:start w:val="1"/>
      <w:numFmt w:val="decimal"/>
      <w:isLgl/>
      <w:lvlText w:val="%1.%2.%3.%4.%5"/>
      <w:lvlJc w:val="left"/>
      <w:pPr>
        <w:ind w:left="2520" w:hanging="1080"/>
      </w:pPr>
      <w:rPr>
        <w:rFonts w:hint="default"/>
        <w:u w:val="none"/>
      </w:rPr>
    </w:lvl>
    <w:lvl w:ilvl="5">
      <w:start w:val="1"/>
      <w:numFmt w:val="decimal"/>
      <w:isLgl/>
      <w:lvlText w:val="%1.%2.%3.%4.%5.%6"/>
      <w:lvlJc w:val="left"/>
      <w:pPr>
        <w:ind w:left="3240" w:hanging="1440"/>
      </w:pPr>
      <w:rPr>
        <w:rFonts w:hint="default"/>
        <w:u w:val="none"/>
      </w:rPr>
    </w:lvl>
    <w:lvl w:ilvl="6">
      <w:start w:val="1"/>
      <w:numFmt w:val="decimal"/>
      <w:isLgl/>
      <w:lvlText w:val="%1.%2.%3.%4.%5.%6.%7"/>
      <w:lvlJc w:val="left"/>
      <w:pPr>
        <w:ind w:left="3600" w:hanging="1440"/>
      </w:pPr>
      <w:rPr>
        <w:rFonts w:hint="default"/>
        <w:u w:val="none"/>
      </w:rPr>
    </w:lvl>
    <w:lvl w:ilvl="7">
      <w:start w:val="1"/>
      <w:numFmt w:val="decimal"/>
      <w:isLgl/>
      <w:lvlText w:val="%1.%2.%3.%4.%5.%6.%7.%8"/>
      <w:lvlJc w:val="left"/>
      <w:pPr>
        <w:ind w:left="4320" w:hanging="1800"/>
      </w:pPr>
      <w:rPr>
        <w:rFonts w:hint="default"/>
        <w:u w:val="none"/>
      </w:rPr>
    </w:lvl>
    <w:lvl w:ilvl="8">
      <w:start w:val="1"/>
      <w:numFmt w:val="decimal"/>
      <w:isLgl/>
      <w:lvlText w:val="%1.%2.%3.%4.%5.%6.%7.%8.%9"/>
      <w:lvlJc w:val="left"/>
      <w:pPr>
        <w:ind w:left="4680" w:hanging="1800"/>
      </w:pPr>
      <w:rPr>
        <w:rFonts w:hint="default"/>
        <w:u w:val="none"/>
      </w:rPr>
    </w:lvl>
  </w:abstractNum>
  <w:abstractNum w:abstractNumId="23" w15:restartNumberingAfterBreak="0">
    <w:nsid w:val="3DDB4AD2"/>
    <w:multiLevelType w:val="hybridMultilevel"/>
    <w:tmpl w:val="CA56E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05A7426"/>
    <w:multiLevelType w:val="hybridMultilevel"/>
    <w:tmpl w:val="5A4A3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DC4B8C"/>
    <w:multiLevelType w:val="hybridMultilevel"/>
    <w:tmpl w:val="C7127698"/>
    <w:lvl w:ilvl="0" w:tplc="EA8469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986ADD"/>
    <w:multiLevelType w:val="hybridMultilevel"/>
    <w:tmpl w:val="69369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5957B2"/>
    <w:multiLevelType w:val="hybridMultilevel"/>
    <w:tmpl w:val="5B0EB8E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CC15D0C"/>
    <w:multiLevelType w:val="hybridMultilevel"/>
    <w:tmpl w:val="23EC6D10"/>
    <w:lvl w:ilvl="0" w:tplc="FF4256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302CE"/>
    <w:multiLevelType w:val="hybridMultilevel"/>
    <w:tmpl w:val="E45AF8F4"/>
    <w:lvl w:ilvl="0" w:tplc="457862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B27F84"/>
    <w:multiLevelType w:val="hybridMultilevel"/>
    <w:tmpl w:val="BBDA4F52"/>
    <w:lvl w:ilvl="0" w:tplc="EEDE4F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29849B2"/>
    <w:multiLevelType w:val="multilevel"/>
    <w:tmpl w:val="11BA66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B424292"/>
    <w:multiLevelType w:val="hybridMultilevel"/>
    <w:tmpl w:val="565699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955FF0"/>
    <w:multiLevelType w:val="multilevel"/>
    <w:tmpl w:val="6F406CB2"/>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6FA5D55"/>
    <w:multiLevelType w:val="hybridMultilevel"/>
    <w:tmpl w:val="903E33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E805C8"/>
    <w:multiLevelType w:val="hybridMultilevel"/>
    <w:tmpl w:val="16201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370447"/>
    <w:multiLevelType w:val="hybridMultilevel"/>
    <w:tmpl w:val="2CD65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BD118E"/>
    <w:multiLevelType w:val="hybridMultilevel"/>
    <w:tmpl w:val="CD0AB680"/>
    <w:lvl w:ilvl="0" w:tplc="79285BA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B243C8"/>
    <w:multiLevelType w:val="multilevel"/>
    <w:tmpl w:val="141272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830CEE"/>
    <w:multiLevelType w:val="hybridMultilevel"/>
    <w:tmpl w:val="581CB89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FAC5701"/>
    <w:multiLevelType w:val="multilevel"/>
    <w:tmpl w:val="1C78928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940074"/>
    <w:multiLevelType w:val="multilevel"/>
    <w:tmpl w:val="0492C0C0"/>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2FA2D44"/>
    <w:multiLevelType w:val="hybridMultilevel"/>
    <w:tmpl w:val="0D106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E55106"/>
    <w:multiLevelType w:val="hybridMultilevel"/>
    <w:tmpl w:val="F7C2676E"/>
    <w:lvl w:ilvl="0" w:tplc="4164EA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5980CA7"/>
    <w:multiLevelType w:val="hybridMultilevel"/>
    <w:tmpl w:val="534C08B4"/>
    <w:lvl w:ilvl="0" w:tplc="FD0A1CCE">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5" w15:restartNumberingAfterBreak="0">
    <w:nsid w:val="7D364AA4"/>
    <w:multiLevelType w:val="hybridMultilevel"/>
    <w:tmpl w:val="993AC4B2"/>
    <w:lvl w:ilvl="0" w:tplc="FF2AA21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D771BD7"/>
    <w:multiLevelType w:val="hybridMultilevel"/>
    <w:tmpl w:val="A4FA9398"/>
    <w:lvl w:ilvl="0" w:tplc="9852FA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EFC653B"/>
    <w:multiLevelType w:val="hybridMultilevel"/>
    <w:tmpl w:val="B07E61B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2"/>
  </w:num>
  <w:num w:numId="2">
    <w:abstractNumId w:val="34"/>
  </w:num>
  <w:num w:numId="3">
    <w:abstractNumId w:val="8"/>
  </w:num>
  <w:num w:numId="4">
    <w:abstractNumId w:val="1"/>
  </w:num>
  <w:num w:numId="5">
    <w:abstractNumId w:val="39"/>
  </w:num>
  <w:num w:numId="6">
    <w:abstractNumId w:val="47"/>
  </w:num>
  <w:num w:numId="7">
    <w:abstractNumId w:val="32"/>
  </w:num>
  <w:num w:numId="8">
    <w:abstractNumId w:val="31"/>
  </w:num>
  <w:num w:numId="9">
    <w:abstractNumId w:val="33"/>
  </w:num>
  <w:num w:numId="10">
    <w:abstractNumId w:val="2"/>
  </w:num>
  <w:num w:numId="11">
    <w:abstractNumId w:val="38"/>
  </w:num>
  <w:num w:numId="12">
    <w:abstractNumId w:val="41"/>
  </w:num>
  <w:num w:numId="13">
    <w:abstractNumId w:val="12"/>
  </w:num>
  <w:num w:numId="14">
    <w:abstractNumId w:val="28"/>
  </w:num>
  <w:num w:numId="15">
    <w:abstractNumId w:val="24"/>
  </w:num>
  <w:num w:numId="16">
    <w:abstractNumId w:val="44"/>
  </w:num>
  <w:num w:numId="17">
    <w:abstractNumId w:val="26"/>
  </w:num>
  <w:num w:numId="18">
    <w:abstractNumId w:val="18"/>
  </w:num>
  <w:num w:numId="19">
    <w:abstractNumId w:val="14"/>
  </w:num>
  <w:num w:numId="20">
    <w:abstractNumId w:val="23"/>
  </w:num>
  <w:num w:numId="21">
    <w:abstractNumId w:val="7"/>
  </w:num>
  <w:num w:numId="22">
    <w:abstractNumId w:val="45"/>
  </w:num>
  <w:num w:numId="23">
    <w:abstractNumId w:val="11"/>
  </w:num>
  <w:num w:numId="24">
    <w:abstractNumId w:val="30"/>
  </w:num>
  <w:num w:numId="25">
    <w:abstractNumId w:val="29"/>
  </w:num>
  <w:num w:numId="26">
    <w:abstractNumId w:val="42"/>
  </w:num>
  <w:num w:numId="27">
    <w:abstractNumId w:val="40"/>
  </w:num>
  <w:num w:numId="28">
    <w:abstractNumId w:val="4"/>
  </w:num>
  <w:num w:numId="29">
    <w:abstractNumId w:val="5"/>
  </w:num>
  <w:num w:numId="30">
    <w:abstractNumId w:val="0"/>
  </w:num>
  <w:num w:numId="31">
    <w:abstractNumId w:val="35"/>
  </w:num>
  <w:num w:numId="32">
    <w:abstractNumId w:val="20"/>
  </w:num>
  <w:num w:numId="33">
    <w:abstractNumId w:val="27"/>
  </w:num>
  <w:num w:numId="34">
    <w:abstractNumId w:val="21"/>
  </w:num>
  <w:num w:numId="35">
    <w:abstractNumId w:val="15"/>
  </w:num>
  <w:num w:numId="36">
    <w:abstractNumId w:val="9"/>
  </w:num>
  <w:num w:numId="37">
    <w:abstractNumId w:val="36"/>
  </w:num>
  <w:num w:numId="38">
    <w:abstractNumId w:val="6"/>
  </w:num>
  <w:num w:numId="39">
    <w:abstractNumId w:val="25"/>
  </w:num>
  <w:num w:numId="40">
    <w:abstractNumId w:val="46"/>
  </w:num>
  <w:num w:numId="41">
    <w:abstractNumId w:val="16"/>
  </w:num>
  <w:num w:numId="42">
    <w:abstractNumId w:val="19"/>
  </w:num>
  <w:num w:numId="43">
    <w:abstractNumId w:val="3"/>
  </w:num>
  <w:num w:numId="44">
    <w:abstractNumId w:val="13"/>
  </w:num>
  <w:num w:numId="45">
    <w:abstractNumId w:val="37"/>
  </w:num>
  <w:num w:numId="46">
    <w:abstractNumId w:val="43"/>
  </w:num>
  <w:num w:numId="47">
    <w:abstractNumId w:val="17"/>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40"/>
    <w:rsid w:val="000001ED"/>
    <w:rsid w:val="00036287"/>
    <w:rsid w:val="000363BA"/>
    <w:rsid w:val="0006045A"/>
    <w:rsid w:val="00067EF0"/>
    <w:rsid w:val="000707D1"/>
    <w:rsid w:val="00072F2F"/>
    <w:rsid w:val="00076288"/>
    <w:rsid w:val="00076BC4"/>
    <w:rsid w:val="00085488"/>
    <w:rsid w:val="00086B40"/>
    <w:rsid w:val="0009580B"/>
    <w:rsid w:val="00097E04"/>
    <w:rsid w:val="000A028E"/>
    <w:rsid w:val="000A106C"/>
    <w:rsid w:val="000A16A7"/>
    <w:rsid w:val="000A57E6"/>
    <w:rsid w:val="000D3D5B"/>
    <w:rsid w:val="000E6C36"/>
    <w:rsid w:val="000E70CD"/>
    <w:rsid w:val="000F2DC6"/>
    <w:rsid w:val="000F4981"/>
    <w:rsid w:val="001017EB"/>
    <w:rsid w:val="001064F4"/>
    <w:rsid w:val="00112C46"/>
    <w:rsid w:val="00125B2A"/>
    <w:rsid w:val="001332FF"/>
    <w:rsid w:val="00142F51"/>
    <w:rsid w:val="001514DE"/>
    <w:rsid w:val="00152055"/>
    <w:rsid w:val="0016026B"/>
    <w:rsid w:val="00163DF7"/>
    <w:rsid w:val="00193158"/>
    <w:rsid w:val="001953FC"/>
    <w:rsid w:val="00196326"/>
    <w:rsid w:val="001A2C83"/>
    <w:rsid w:val="001B6B0D"/>
    <w:rsid w:val="001C542F"/>
    <w:rsid w:val="001E2490"/>
    <w:rsid w:val="001E24C8"/>
    <w:rsid w:val="001F269C"/>
    <w:rsid w:val="001F3289"/>
    <w:rsid w:val="001F5454"/>
    <w:rsid w:val="00200150"/>
    <w:rsid w:val="0020093C"/>
    <w:rsid w:val="0020487D"/>
    <w:rsid w:val="0020702D"/>
    <w:rsid w:val="0021043F"/>
    <w:rsid w:val="00210926"/>
    <w:rsid w:val="00210946"/>
    <w:rsid w:val="00220A8D"/>
    <w:rsid w:val="002316BC"/>
    <w:rsid w:val="00232729"/>
    <w:rsid w:val="002403DA"/>
    <w:rsid w:val="00245590"/>
    <w:rsid w:val="00251D68"/>
    <w:rsid w:val="00253596"/>
    <w:rsid w:val="00256A06"/>
    <w:rsid w:val="00261E9C"/>
    <w:rsid w:val="00271B67"/>
    <w:rsid w:val="00272AFF"/>
    <w:rsid w:val="00274EBD"/>
    <w:rsid w:val="002769ED"/>
    <w:rsid w:val="002800E1"/>
    <w:rsid w:val="00281813"/>
    <w:rsid w:val="002865D0"/>
    <w:rsid w:val="0029075E"/>
    <w:rsid w:val="00290A83"/>
    <w:rsid w:val="002924F7"/>
    <w:rsid w:val="002B4E40"/>
    <w:rsid w:val="002B6DBA"/>
    <w:rsid w:val="002B7CEB"/>
    <w:rsid w:val="002C19C9"/>
    <w:rsid w:val="002C2F9A"/>
    <w:rsid w:val="002C3001"/>
    <w:rsid w:val="002C63F4"/>
    <w:rsid w:val="002C7FE9"/>
    <w:rsid w:val="002E0759"/>
    <w:rsid w:val="002E48B5"/>
    <w:rsid w:val="002E56E0"/>
    <w:rsid w:val="002F38A4"/>
    <w:rsid w:val="002F703F"/>
    <w:rsid w:val="00303FEE"/>
    <w:rsid w:val="00305179"/>
    <w:rsid w:val="00310D1C"/>
    <w:rsid w:val="00311931"/>
    <w:rsid w:val="0031193E"/>
    <w:rsid w:val="00312129"/>
    <w:rsid w:val="00312316"/>
    <w:rsid w:val="0031681D"/>
    <w:rsid w:val="00325E63"/>
    <w:rsid w:val="00331809"/>
    <w:rsid w:val="003324FE"/>
    <w:rsid w:val="0034117C"/>
    <w:rsid w:val="003473AC"/>
    <w:rsid w:val="00347A9D"/>
    <w:rsid w:val="0035052D"/>
    <w:rsid w:val="00351A4D"/>
    <w:rsid w:val="0036000E"/>
    <w:rsid w:val="00363BE2"/>
    <w:rsid w:val="003662B5"/>
    <w:rsid w:val="0036777E"/>
    <w:rsid w:val="00371A20"/>
    <w:rsid w:val="00375BEF"/>
    <w:rsid w:val="0039367C"/>
    <w:rsid w:val="003A0E0D"/>
    <w:rsid w:val="003A4971"/>
    <w:rsid w:val="003A5641"/>
    <w:rsid w:val="003B1AAC"/>
    <w:rsid w:val="003C26B9"/>
    <w:rsid w:val="003C297C"/>
    <w:rsid w:val="003D6F23"/>
    <w:rsid w:val="003E0B26"/>
    <w:rsid w:val="003E2BD1"/>
    <w:rsid w:val="003E3377"/>
    <w:rsid w:val="003E5E74"/>
    <w:rsid w:val="00404101"/>
    <w:rsid w:val="00412771"/>
    <w:rsid w:val="0042042B"/>
    <w:rsid w:val="004278CF"/>
    <w:rsid w:val="00427B68"/>
    <w:rsid w:val="00427BAF"/>
    <w:rsid w:val="004413F4"/>
    <w:rsid w:val="00441574"/>
    <w:rsid w:val="00441638"/>
    <w:rsid w:val="00443126"/>
    <w:rsid w:val="00444BC8"/>
    <w:rsid w:val="00445C46"/>
    <w:rsid w:val="004522AF"/>
    <w:rsid w:val="00453622"/>
    <w:rsid w:val="00453B3C"/>
    <w:rsid w:val="0046031B"/>
    <w:rsid w:val="004626CC"/>
    <w:rsid w:val="00470E08"/>
    <w:rsid w:val="004712F8"/>
    <w:rsid w:val="004807CF"/>
    <w:rsid w:val="00482502"/>
    <w:rsid w:val="00496D00"/>
    <w:rsid w:val="004A581C"/>
    <w:rsid w:val="004A645E"/>
    <w:rsid w:val="004B2760"/>
    <w:rsid w:val="004B4AD9"/>
    <w:rsid w:val="004C14EA"/>
    <w:rsid w:val="004F69A6"/>
    <w:rsid w:val="00500A69"/>
    <w:rsid w:val="00503E44"/>
    <w:rsid w:val="00503EF9"/>
    <w:rsid w:val="00507677"/>
    <w:rsid w:val="005213E0"/>
    <w:rsid w:val="0053650D"/>
    <w:rsid w:val="0054333C"/>
    <w:rsid w:val="0054384E"/>
    <w:rsid w:val="00551305"/>
    <w:rsid w:val="00562008"/>
    <w:rsid w:val="00565918"/>
    <w:rsid w:val="00571A63"/>
    <w:rsid w:val="005725F7"/>
    <w:rsid w:val="005763C0"/>
    <w:rsid w:val="00582D17"/>
    <w:rsid w:val="0059017A"/>
    <w:rsid w:val="00591AE2"/>
    <w:rsid w:val="00596002"/>
    <w:rsid w:val="0059742C"/>
    <w:rsid w:val="005A3F65"/>
    <w:rsid w:val="005B7330"/>
    <w:rsid w:val="005C016E"/>
    <w:rsid w:val="005C15AE"/>
    <w:rsid w:val="005C2661"/>
    <w:rsid w:val="005C2B97"/>
    <w:rsid w:val="005C4CF4"/>
    <w:rsid w:val="005C581A"/>
    <w:rsid w:val="005E0615"/>
    <w:rsid w:val="005E0DD0"/>
    <w:rsid w:val="005E14A1"/>
    <w:rsid w:val="005E3F92"/>
    <w:rsid w:val="005E46EA"/>
    <w:rsid w:val="005F4DFA"/>
    <w:rsid w:val="00624F8E"/>
    <w:rsid w:val="00646615"/>
    <w:rsid w:val="0065640F"/>
    <w:rsid w:val="00660F24"/>
    <w:rsid w:val="0066318C"/>
    <w:rsid w:val="00663AF1"/>
    <w:rsid w:val="00665200"/>
    <w:rsid w:val="006816F8"/>
    <w:rsid w:val="00683019"/>
    <w:rsid w:val="006845AD"/>
    <w:rsid w:val="006845BD"/>
    <w:rsid w:val="006865E7"/>
    <w:rsid w:val="00694AE5"/>
    <w:rsid w:val="00695953"/>
    <w:rsid w:val="006C27ED"/>
    <w:rsid w:val="006D16C5"/>
    <w:rsid w:val="006D1BE8"/>
    <w:rsid w:val="006D7118"/>
    <w:rsid w:val="006F5E8F"/>
    <w:rsid w:val="00717811"/>
    <w:rsid w:val="0071793C"/>
    <w:rsid w:val="0072032C"/>
    <w:rsid w:val="00720E55"/>
    <w:rsid w:val="00724D90"/>
    <w:rsid w:val="00727234"/>
    <w:rsid w:val="0073636B"/>
    <w:rsid w:val="007475BA"/>
    <w:rsid w:val="0075256F"/>
    <w:rsid w:val="0076030B"/>
    <w:rsid w:val="007664B5"/>
    <w:rsid w:val="00770D78"/>
    <w:rsid w:val="00785B3B"/>
    <w:rsid w:val="00785DAF"/>
    <w:rsid w:val="007A3BEC"/>
    <w:rsid w:val="007B2102"/>
    <w:rsid w:val="007C44C9"/>
    <w:rsid w:val="007E371C"/>
    <w:rsid w:val="007E7367"/>
    <w:rsid w:val="007F3700"/>
    <w:rsid w:val="007F634B"/>
    <w:rsid w:val="008058A6"/>
    <w:rsid w:val="008119DD"/>
    <w:rsid w:val="008165A3"/>
    <w:rsid w:val="008217BB"/>
    <w:rsid w:val="00826324"/>
    <w:rsid w:val="00836489"/>
    <w:rsid w:val="008557C7"/>
    <w:rsid w:val="008619E4"/>
    <w:rsid w:val="00864AC9"/>
    <w:rsid w:val="00870DD9"/>
    <w:rsid w:val="00880A05"/>
    <w:rsid w:val="00884647"/>
    <w:rsid w:val="0089257D"/>
    <w:rsid w:val="0089449D"/>
    <w:rsid w:val="008A49AA"/>
    <w:rsid w:val="008B222C"/>
    <w:rsid w:val="008D0D84"/>
    <w:rsid w:val="008D4495"/>
    <w:rsid w:val="008D5E38"/>
    <w:rsid w:val="008D5F97"/>
    <w:rsid w:val="008E7369"/>
    <w:rsid w:val="008E7837"/>
    <w:rsid w:val="008F142A"/>
    <w:rsid w:val="008F37E9"/>
    <w:rsid w:val="008F64F0"/>
    <w:rsid w:val="008F7BF3"/>
    <w:rsid w:val="00900077"/>
    <w:rsid w:val="00902621"/>
    <w:rsid w:val="00903695"/>
    <w:rsid w:val="00910037"/>
    <w:rsid w:val="00911334"/>
    <w:rsid w:val="00912437"/>
    <w:rsid w:val="00912B03"/>
    <w:rsid w:val="00954587"/>
    <w:rsid w:val="009662CF"/>
    <w:rsid w:val="009664CD"/>
    <w:rsid w:val="00971F88"/>
    <w:rsid w:val="00984080"/>
    <w:rsid w:val="00991267"/>
    <w:rsid w:val="00997DCA"/>
    <w:rsid w:val="009A3038"/>
    <w:rsid w:val="009A6178"/>
    <w:rsid w:val="009B5F13"/>
    <w:rsid w:val="009C5055"/>
    <w:rsid w:val="009C751B"/>
    <w:rsid w:val="009D1559"/>
    <w:rsid w:val="009D20F9"/>
    <w:rsid w:val="009D4891"/>
    <w:rsid w:val="009E7D38"/>
    <w:rsid w:val="00A0266A"/>
    <w:rsid w:val="00A055CD"/>
    <w:rsid w:val="00A11183"/>
    <w:rsid w:val="00A160E2"/>
    <w:rsid w:val="00A1688C"/>
    <w:rsid w:val="00A27527"/>
    <w:rsid w:val="00A34F10"/>
    <w:rsid w:val="00A47951"/>
    <w:rsid w:val="00A511DD"/>
    <w:rsid w:val="00A54D65"/>
    <w:rsid w:val="00A5627B"/>
    <w:rsid w:val="00A62E95"/>
    <w:rsid w:val="00A6701B"/>
    <w:rsid w:val="00A67953"/>
    <w:rsid w:val="00A7446D"/>
    <w:rsid w:val="00A75E59"/>
    <w:rsid w:val="00A776A5"/>
    <w:rsid w:val="00A832E9"/>
    <w:rsid w:val="00A852C6"/>
    <w:rsid w:val="00A94961"/>
    <w:rsid w:val="00AA677B"/>
    <w:rsid w:val="00AB2D90"/>
    <w:rsid w:val="00AB3335"/>
    <w:rsid w:val="00AC16F1"/>
    <w:rsid w:val="00AF54A4"/>
    <w:rsid w:val="00B01275"/>
    <w:rsid w:val="00B022AA"/>
    <w:rsid w:val="00B04D7D"/>
    <w:rsid w:val="00B301B2"/>
    <w:rsid w:val="00B341BF"/>
    <w:rsid w:val="00B35856"/>
    <w:rsid w:val="00B46157"/>
    <w:rsid w:val="00B507C0"/>
    <w:rsid w:val="00B6501F"/>
    <w:rsid w:val="00B71B0A"/>
    <w:rsid w:val="00B81E12"/>
    <w:rsid w:val="00B84402"/>
    <w:rsid w:val="00B859F8"/>
    <w:rsid w:val="00B87F4F"/>
    <w:rsid w:val="00B91286"/>
    <w:rsid w:val="00B948CE"/>
    <w:rsid w:val="00BA22B7"/>
    <w:rsid w:val="00BA7E89"/>
    <w:rsid w:val="00BB64B0"/>
    <w:rsid w:val="00BD7A16"/>
    <w:rsid w:val="00BE0D6E"/>
    <w:rsid w:val="00BE237B"/>
    <w:rsid w:val="00C035B0"/>
    <w:rsid w:val="00C1250D"/>
    <w:rsid w:val="00C14739"/>
    <w:rsid w:val="00C148EB"/>
    <w:rsid w:val="00C151E3"/>
    <w:rsid w:val="00C224AA"/>
    <w:rsid w:val="00C31D91"/>
    <w:rsid w:val="00C34429"/>
    <w:rsid w:val="00C3650E"/>
    <w:rsid w:val="00C40BB2"/>
    <w:rsid w:val="00C56029"/>
    <w:rsid w:val="00C60D6F"/>
    <w:rsid w:val="00C624AF"/>
    <w:rsid w:val="00C67571"/>
    <w:rsid w:val="00C77670"/>
    <w:rsid w:val="00C85C86"/>
    <w:rsid w:val="00C85E30"/>
    <w:rsid w:val="00C94C39"/>
    <w:rsid w:val="00C97EC5"/>
    <w:rsid w:val="00CA7BFE"/>
    <w:rsid w:val="00CB0C1D"/>
    <w:rsid w:val="00CB430C"/>
    <w:rsid w:val="00CB52FA"/>
    <w:rsid w:val="00CC5899"/>
    <w:rsid w:val="00CD198B"/>
    <w:rsid w:val="00CD2747"/>
    <w:rsid w:val="00CD5406"/>
    <w:rsid w:val="00CE4C14"/>
    <w:rsid w:val="00CE73DD"/>
    <w:rsid w:val="00CF160D"/>
    <w:rsid w:val="00CF60BA"/>
    <w:rsid w:val="00CF7A79"/>
    <w:rsid w:val="00D13677"/>
    <w:rsid w:val="00D15ED8"/>
    <w:rsid w:val="00D161EE"/>
    <w:rsid w:val="00D3113D"/>
    <w:rsid w:val="00D54AF8"/>
    <w:rsid w:val="00D56E0C"/>
    <w:rsid w:val="00D60909"/>
    <w:rsid w:val="00D67260"/>
    <w:rsid w:val="00D768FE"/>
    <w:rsid w:val="00D800B7"/>
    <w:rsid w:val="00D85488"/>
    <w:rsid w:val="00D957CE"/>
    <w:rsid w:val="00DA1298"/>
    <w:rsid w:val="00DA3B02"/>
    <w:rsid w:val="00DA4BAD"/>
    <w:rsid w:val="00DA6535"/>
    <w:rsid w:val="00DA6E23"/>
    <w:rsid w:val="00DA761A"/>
    <w:rsid w:val="00DC0FCF"/>
    <w:rsid w:val="00DD1A04"/>
    <w:rsid w:val="00DD7A4C"/>
    <w:rsid w:val="00DE7039"/>
    <w:rsid w:val="00E05BD9"/>
    <w:rsid w:val="00E147D2"/>
    <w:rsid w:val="00E22308"/>
    <w:rsid w:val="00E253C3"/>
    <w:rsid w:val="00E267EE"/>
    <w:rsid w:val="00E32299"/>
    <w:rsid w:val="00E47D6D"/>
    <w:rsid w:val="00E62776"/>
    <w:rsid w:val="00E67B9C"/>
    <w:rsid w:val="00E7331D"/>
    <w:rsid w:val="00E9440E"/>
    <w:rsid w:val="00E954D0"/>
    <w:rsid w:val="00EC125A"/>
    <w:rsid w:val="00EC2143"/>
    <w:rsid w:val="00EC3F61"/>
    <w:rsid w:val="00ED0E00"/>
    <w:rsid w:val="00ED14C4"/>
    <w:rsid w:val="00EE118B"/>
    <w:rsid w:val="00EE423D"/>
    <w:rsid w:val="00EF37D7"/>
    <w:rsid w:val="00F0237B"/>
    <w:rsid w:val="00F03FAA"/>
    <w:rsid w:val="00F06CEC"/>
    <w:rsid w:val="00F07D30"/>
    <w:rsid w:val="00F3741F"/>
    <w:rsid w:val="00F43E43"/>
    <w:rsid w:val="00F51377"/>
    <w:rsid w:val="00F538C3"/>
    <w:rsid w:val="00F541E5"/>
    <w:rsid w:val="00F67978"/>
    <w:rsid w:val="00F765E7"/>
    <w:rsid w:val="00F80176"/>
    <w:rsid w:val="00FA1816"/>
    <w:rsid w:val="00FA5CC5"/>
    <w:rsid w:val="00FB18DC"/>
    <w:rsid w:val="00FC080C"/>
    <w:rsid w:val="00FE1E50"/>
    <w:rsid w:val="00FE2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979872E-76B9-445A-B135-83DC8DA81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B04D7D"/>
    <w:rPr>
      <w:color w:val="0000FF" w:themeColor="hyperlink"/>
      <w:u w:val="single"/>
    </w:rPr>
  </w:style>
  <w:style w:type="character" w:styleId="FollowedHyperlink">
    <w:name w:val="FollowedHyperlink"/>
    <w:basedOn w:val="DefaultParagraphFont"/>
    <w:uiPriority w:val="99"/>
    <w:semiHidden/>
    <w:unhideWhenUsed/>
    <w:rsid w:val="004A58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96958">
      <w:bodyDiv w:val="1"/>
      <w:marLeft w:val="0"/>
      <w:marRight w:val="0"/>
      <w:marTop w:val="0"/>
      <w:marBottom w:val="0"/>
      <w:divBdr>
        <w:top w:val="none" w:sz="0" w:space="0" w:color="auto"/>
        <w:left w:val="none" w:sz="0" w:space="0" w:color="auto"/>
        <w:bottom w:val="none" w:sz="0" w:space="0" w:color="auto"/>
        <w:right w:val="none" w:sz="0" w:space="0" w:color="auto"/>
      </w:divBdr>
    </w:div>
    <w:div w:id="1155681364">
      <w:bodyDiv w:val="1"/>
      <w:marLeft w:val="0"/>
      <w:marRight w:val="0"/>
      <w:marTop w:val="0"/>
      <w:marBottom w:val="0"/>
      <w:divBdr>
        <w:top w:val="none" w:sz="0" w:space="0" w:color="auto"/>
        <w:left w:val="none" w:sz="0" w:space="0" w:color="auto"/>
        <w:bottom w:val="none" w:sz="0" w:space="0" w:color="auto"/>
        <w:right w:val="none" w:sz="0" w:space="0" w:color="auto"/>
      </w:divBdr>
    </w:div>
    <w:div w:id="1290235915">
      <w:bodyDiv w:val="1"/>
      <w:marLeft w:val="0"/>
      <w:marRight w:val="0"/>
      <w:marTop w:val="0"/>
      <w:marBottom w:val="0"/>
      <w:divBdr>
        <w:top w:val="none" w:sz="0" w:space="0" w:color="auto"/>
        <w:left w:val="none" w:sz="0" w:space="0" w:color="auto"/>
        <w:bottom w:val="none" w:sz="0" w:space="0" w:color="auto"/>
        <w:right w:val="none" w:sz="0" w:space="0" w:color="auto"/>
      </w:divBdr>
    </w:div>
    <w:div w:id="1294948819">
      <w:bodyDiv w:val="1"/>
      <w:marLeft w:val="0"/>
      <w:marRight w:val="0"/>
      <w:marTop w:val="0"/>
      <w:marBottom w:val="0"/>
      <w:divBdr>
        <w:top w:val="none" w:sz="0" w:space="0" w:color="auto"/>
        <w:left w:val="none" w:sz="0" w:space="0" w:color="auto"/>
        <w:bottom w:val="none" w:sz="0" w:space="0" w:color="auto"/>
        <w:right w:val="none" w:sz="0" w:space="0" w:color="auto"/>
      </w:divBdr>
    </w:div>
    <w:div w:id="1350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7323D-1202-4EAF-BF0B-0DEF369C9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1418</Words>
  <Characters>8084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9484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Finney</dc:creator>
  <cp:lastModifiedBy>Jo Armstrong</cp:lastModifiedBy>
  <cp:revision>19</cp:revision>
  <cp:lastPrinted>2016-12-28T16:36:00Z</cp:lastPrinted>
  <dcterms:created xsi:type="dcterms:W3CDTF">2017-09-27T09:21:00Z</dcterms:created>
  <dcterms:modified xsi:type="dcterms:W3CDTF">2017-10-17T07:20:45Z</dcterms:modified>
  <dc:title>Rep 712 High Needs National Funding Formula Schools Forum October 2017v1</dc:title>
  <cp:keywords>
  </cp:keywords>
  <dc:subject>
  </dc:subject>
</cp:coreProperties>
</file>