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46157" w:rsidR="007C44C9" w:rsidP="002B4E40" w:rsidRDefault="005C15AE">
      <w:pPr>
        <w:jc w:val="center"/>
        <w:rPr>
          <w:rFonts w:cs="Arial"/>
          <w:b/>
          <w:sz w:val="26"/>
          <w:szCs w:val="26"/>
          <w:u w:val="single"/>
        </w:rPr>
      </w:pPr>
      <w:r w:rsidRPr="00B46157">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0C08F397" wp14:anchorId="7B4E75C5">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6A3EEC" w:rsidP="006D16C5" w:rsidRDefault="006A3EEC">
                            <w:pPr>
                              <w:rPr>
                                <w:sz w:val="26"/>
                                <w:szCs w:val="26"/>
                              </w:rPr>
                            </w:pPr>
                            <w:r>
                              <w:rPr>
                                <w:sz w:val="26"/>
                                <w:szCs w:val="26"/>
                              </w:rPr>
                              <w:t xml:space="preserve">Agenda Item </w:t>
                            </w:r>
                            <w:r w:rsidR="00C67EC4">
                              <w:rPr>
                                <w:sz w:val="26"/>
                                <w:szCs w:val="26"/>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">
                <v:textbox style="mso-fit-shape-to-text:t">
                  <w:txbxContent>
                    <w:p w:rsidRPr="006D16C5" w:rsidR="006A3EEC" w:rsidP="006D16C5" w:rsidRDefault="006A3EEC">
                      <w:pPr>
                        <w:rPr>
                          <w:sz w:val="26"/>
                          <w:szCs w:val="26"/>
                        </w:rPr>
                      </w:pPr>
                      <w:r>
                        <w:rPr>
                          <w:sz w:val="26"/>
                          <w:szCs w:val="26"/>
                        </w:rPr>
                        <w:t xml:space="preserve">Agenda Item </w:t>
                      </w:r>
                      <w:r w:rsidR="00C67EC4">
                        <w:rPr>
                          <w:sz w:val="26"/>
                          <w:szCs w:val="26"/>
                        </w:rPr>
                        <w:t>3</w:t>
                      </w:r>
                    </w:p>
                  </w:txbxContent>
                </v:textbox>
              </v:shape>
            </w:pict>
          </mc:Fallback>
        </mc:AlternateContent>
      </w:r>
      <w:r w:rsidRPr="00B46157">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127E4A6A" wp14:anchorId="4E75A66C">
                <wp:simplePos x="0" y="0"/>
                <wp:positionH relativeFrom="column">
                  <wp:posOffset>77470</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6A3EEC" w:rsidRDefault="006A3EEC">
                            <w:pPr>
                              <w:rPr>
                                <w:sz w:val="26"/>
                                <w:szCs w:val="26"/>
                              </w:rPr>
                            </w:pPr>
                            <w:r w:rsidRPr="006D16C5">
                              <w:rPr>
                                <w:sz w:val="26"/>
                                <w:szCs w:val="26"/>
                              </w:rPr>
                              <w:t xml:space="preserve">Rep </w:t>
                            </w:r>
                            <w:r>
                              <w:rPr>
                                <w:sz w:val="26"/>
                                <w:szCs w:val="26"/>
                              </w:rPr>
                              <w:t>687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style="position:absolute;left:0;text-align:left;margin-left:6.1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">
                <v:textbox style="mso-fit-shape-to-text:t">
                  <w:txbxContent>
                    <w:p w:rsidRPr="006D16C5" w:rsidR="006A3EEC" w:rsidRDefault="006A3EEC">
                      <w:pPr>
                        <w:rPr>
                          <w:sz w:val="26"/>
                          <w:szCs w:val="26"/>
                        </w:rPr>
                      </w:pPr>
                      <w:r w:rsidRPr="006D16C5">
                        <w:rPr>
                          <w:sz w:val="26"/>
                          <w:szCs w:val="26"/>
                        </w:rPr>
                        <w:t xml:space="preserve">Rep </w:t>
                      </w:r>
                      <w:r>
                        <w:rPr>
                          <w:sz w:val="26"/>
                          <w:szCs w:val="26"/>
                        </w:rPr>
                        <w:t>687</w:t>
                      </w:r>
                    </w:p>
                  </w:txbxContent>
                </v:textbox>
              </v:shape>
            </w:pict>
          </mc:Fallback>
        </mc:AlternateContent>
      </w:r>
      <w:r w:rsidRPr="00B46157" w:rsidR="002B4E40">
        <w:rPr>
          <w:rFonts w:cs="Arial"/>
          <w:b/>
          <w:sz w:val="26"/>
          <w:szCs w:val="26"/>
          <w:u w:val="single"/>
        </w:rPr>
        <w:t>DERBYSHIRE COUNTY COUNCIL</w:t>
      </w:r>
    </w:p>
    <w:p w:rsidRPr="00B46157" w:rsidR="002B4E40" w:rsidP="002B4E40" w:rsidRDefault="002B4E40">
      <w:pPr>
        <w:jc w:val="center"/>
        <w:rPr>
          <w:rFonts w:cs="Arial"/>
          <w:b/>
          <w:sz w:val="26"/>
          <w:szCs w:val="26"/>
          <w:u w:val="single"/>
        </w:rPr>
      </w:pPr>
    </w:p>
    <w:p w:rsidRPr="00B46157" w:rsidR="002B4E40" w:rsidP="002B4E40" w:rsidRDefault="002B4E40">
      <w:pPr>
        <w:jc w:val="center"/>
        <w:rPr>
          <w:rFonts w:cs="Arial"/>
          <w:b/>
          <w:sz w:val="26"/>
          <w:szCs w:val="26"/>
          <w:u w:val="single"/>
        </w:rPr>
      </w:pPr>
      <w:r w:rsidRPr="00B46157">
        <w:rPr>
          <w:rFonts w:cs="Arial"/>
          <w:b/>
          <w:sz w:val="26"/>
          <w:szCs w:val="26"/>
          <w:u w:val="single"/>
        </w:rPr>
        <w:t>SCHOOLS FORUM</w:t>
      </w:r>
    </w:p>
    <w:p w:rsidRPr="00B46157" w:rsidR="002B4E40" w:rsidP="002B4E40" w:rsidRDefault="002B4E40">
      <w:pPr>
        <w:jc w:val="center"/>
        <w:rPr>
          <w:rFonts w:cs="Arial"/>
          <w:b/>
          <w:sz w:val="26"/>
          <w:szCs w:val="26"/>
          <w:u w:val="single"/>
        </w:rPr>
      </w:pPr>
    </w:p>
    <w:p w:rsidRPr="00B46157" w:rsidR="002B4E40" w:rsidP="002B4E40" w:rsidRDefault="00E267EE">
      <w:pPr>
        <w:jc w:val="center"/>
        <w:rPr>
          <w:rFonts w:cs="Arial"/>
          <w:b/>
          <w:sz w:val="26"/>
          <w:szCs w:val="26"/>
          <w:u w:val="single"/>
        </w:rPr>
      </w:pPr>
      <w:r>
        <w:rPr>
          <w:rFonts w:cs="Arial"/>
          <w:b/>
          <w:sz w:val="26"/>
          <w:szCs w:val="26"/>
          <w:u w:val="single"/>
        </w:rPr>
        <w:t>9</w:t>
      </w:r>
      <w:r w:rsidRPr="00E267EE">
        <w:rPr>
          <w:rFonts w:cs="Arial"/>
          <w:b/>
          <w:sz w:val="26"/>
          <w:szCs w:val="26"/>
          <w:u w:val="single"/>
          <w:vertAlign w:val="superscript"/>
        </w:rPr>
        <w:t>th</w:t>
      </w:r>
      <w:r>
        <w:rPr>
          <w:rFonts w:cs="Arial"/>
          <w:b/>
          <w:sz w:val="26"/>
          <w:szCs w:val="26"/>
          <w:u w:val="single"/>
        </w:rPr>
        <w:t xml:space="preserve"> January </w:t>
      </w:r>
      <w:r w:rsidRPr="00B46157" w:rsidR="002B4E40">
        <w:rPr>
          <w:rFonts w:cs="Arial"/>
          <w:b/>
          <w:sz w:val="26"/>
          <w:szCs w:val="26"/>
          <w:u w:val="single"/>
        </w:rPr>
        <w:t>201</w:t>
      </w:r>
      <w:r>
        <w:rPr>
          <w:rFonts w:cs="Arial"/>
          <w:b/>
          <w:sz w:val="26"/>
          <w:szCs w:val="26"/>
          <w:u w:val="single"/>
        </w:rPr>
        <w:t>7</w:t>
      </w:r>
    </w:p>
    <w:p w:rsidRPr="00B46157" w:rsidR="002B4E40" w:rsidP="002B4E40" w:rsidRDefault="002B4E40">
      <w:pPr>
        <w:jc w:val="center"/>
        <w:rPr>
          <w:rFonts w:cs="Arial"/>
          <w:b/>
          <w:sz w:val="26"/>
          <w:szCs w:val="26"/>
          <w:u w:val="single"/>
        </w:rPr>
      </w:pPr>
    </w:p>
    <w:p w:rsidRPr="00B46157" w:rsidR="002B4E40" w:rsidP="002B4E40" w:rsidRDefault="002B4E40">
      <w:pPr>
        <w:jc w:val="center"/>
        <w:rPr>
          <w:rFonts w:cs="Arial"/>
          <w:b/>
          <w:sz w:val="26"/>
          <w:szCs w:val="26"/>
          <w:u w:val="single"/>
        </w:rPr>
      </w:pPr>
      <w:r w:rsidRPr="00B46157">
        <w:rPr>
          <w:rFonts w:cs="Arial"/>
          <w:b/>
          <w:sz w:val="26"/>
          <w:szCs w:val="26"/>
          <w:u w:val="single"/>
        </w:rPr>
        <w:t>Report of the Strategic Director for Children’s Services</w:t>
      </w:r>
    </w:p>
    <w:p w:rsidRPr="00B46157" w:rsidR="002B4E40" w:rsidP="002B4E40" w:rsidRDefault="002B4E40">
      <w:pPr>
        <w:jc w:val="center"/>
        <w:rPr>
          <w:rFonts w:cs="Arial"/>
          <w:b/>
          <w:sz w:val="26"/>
          <w:szCs w:val="26"/>
          <w:u w:val="single"/>
        </w:rPr>
      </w:pPr>
    </w:p>
    <w:p w:rsidRPr="00B46157" w:rsidR="002B4E40" w:rsidP="002B4E40" w:rsidRDefault="00AC470A">
      <w:pPr>
        <w:jc w:val="center"/>
        <w:rPr>
          <w:rFonts w:cs="Arial"/>
          <w:b/>
          <w:sz w:val="26"/>
          <w:szCs w:val="26"/>
        </w:rPr>
      </w:pPr>
      <w:r>
        <w:rPr>
          <w:rFonts w:cs="Arial"/>
          <w:b/>
          <w:sz w:val="26"/>
          <w:szCs w:val="26"/>
          <w:u w:val="single"/>
        </w:rPr>
        <w:t xml:space="preserve">Mainstream </w:t>
      </w:r>
      <w:r w:rsidR="00036B15">
        <w:rPr>
          <w:rFonts w:cs="Arial"/>
          <w:b/>
          <w:sz w:val="26"/>
          <w:szCs w:val="26"/>
          <w:u w:val="single"/>
        </w:rPr>
        <w:t xml:space="preserve">Schools - </w:t>
      </w:r>
      <w:r>
        <w:rPr>
          <w:rFonts w:cs="Arial"/>
          <w:b/>
          <w:sz w:val="26"/>
          <w:szCs w:val="26"/>
          <w:u w:val="single"/>
        </w:rPr>
        <w:t xml:space="preserve">National Funding Formula (NFF) </w:t>
      </w:r>
      <w:r w:rsidR="00652A78">
        <w:rPr>
          <w:rFonts w:cs="Arial"/>
          <w:b/>
          <w:sz w:val="26"/>
          <w:szCs w:val="26"/>
          <w:u w:val="single"/>
        </w:rPr>
        <w:t>consultation</w:t>
      </w:r>
    </w:p>
    <w:p w:rsidRPr="00A852C6" w:rsidR="002B4E40" w:rsidP="00EC3F61" w:rsidRDefault="002B4E40">
      <w:pPr>
        <w:jc w:val="center"/>
        <w:rPr>
          <w:rFonts w:cs="Arial"/>
          <w:b/>
          <w:sz w:val="20"/>
          <w:szCs w:val="26"/>
        </w:rPr>
      </w:pPr>
    </w:p>
    <w:p w:rsidRPr="00B46157" w:rsidR="002B4E40" w:rsidP="00EC3F61" w:rsidRDefault="002B4E40">
      <w:pPr>
        <w:pStyle w:val="ListParagraph"/>
        <w:numPr>
          <w:ilvl w:val="0"/>
          <w:numId w:val="1"/>
        </w:numPr>
        <w:ind w:left="709" w:hanging="709"/>
        <w:rPr>
          <w:rFonts w:cs="Arial"/>
          <w:b/>
          <w:sz w:val="26"/>
          <w:szCs w:val="26"/>
        </w:rPr>
      </w:pPr>
      <w:r w:rsidRPr="00B46157">
        <w:rPr>
          <w:rFonts w:cs="Arial"/>
          <w:b/>
          <w:sz w:val="26"/>
          <w:szCs w:val="26"/>
          <w:u w:val="single"/>
        </w:rPr>
        <w:t>Purpose of the Report</w:t>
      </w:r>
    </w:p>
    <w:p w:rsidRPr="00A852C6" w:rsidR="002B4E40" w:rsidP="00EC3F61" w:rsidRDefault="002B4E40">
      <w:pPr>
        <w:ind w:left="709" w:hanging="709"/>
        <w:rPr>
          <w:rFonts w:cs="Arial"/>
          <w:b/>
          <w:sz w:val="20"/>
          <w:szCs w:val="26"/>
        </w:rPr>
      </w:pPr>
    </w:p>
    <w:p w:rsidRPr="006D1867" w:rsidR="006D1867" w:rsidP="006D1867" w:rsidRDefault="005C15AE">
      <w:pPr>
        <w:rPr>
          <w:rFonts w:cs="Arial"/>
          <w:sz w:val="26"/>
          <w:szCs w:val="26"/>
        </w:rPr>
      </w:pPr>
      <w:r w:rsidRPr="006D1867">
        <w:rPr>
          <w:rFonts w:cs="Arial"/>
          <w:sz w:val="26"/>
          <w:szCs w:val="26"/>
        </w:rPr>
        <w:t xml:space="preserve">To </w:t>
      </w:r>
      <w:r w:rsidRPr="006D1867" w:rsidR="001064F4">
        <w:rPr>
          <w:rFonts w:cs="Arial"/>
          <w:sz w:val="26"/>
          <w:szCs w:val="26"/>
        </w:rPr>
        <w:t xml:space="preserve">inform the </w:t>
      </w:r>
      <w:r w:rsidRPr="006D1867">
        <w:rPr>
          <w:rFonts w:cs="Arial"/>
          <w:sz w:val="26"/>
          <w:szCs w:val="26"/>
        </w:rPr>
        <w:t xml:space="preserve">Schools Forum </w:t>
      </w:r>
      <w:r w:rsidRPr="006D1867" w:rsidR="001064F4">
        <w:rPr>
          <w:rFonts w:cs="Arial"/>
          <w:sz w:val="26"/>
          <w:szCs w:val="26"/>
        </w:rPr>
        <w:t xml:space="preserve">of the </w:t>
      </w:r>
      <w:r w:rsidRPr="006D1867" w:rsidR="00251D46">
        <w:rPr>
          <w:rFonts w:cs="Arial"/>
          <w:sz w:val="26"/>
          <w:szCs w:val="26"/>
        </w:rPr>
        <w:t>government’s second phase consultations regarding a National Funding Formula (NFF) for mainstream schools.</w:t>
      </w:r>
      <w:r w:rsidRPr="006D1867" w:rsidR="006D1867">
        <w:rPr>
          <w:rFonts w:cs="Arial"/>
          <w:sz w:val="26"/>
          <w:szCs w:val="26"/>
        </w:rPr>
        <w:t xml:space="preserve"> </w:t>
      </w:r>
    </w:p>
    <w:p w:rsidRPr="00B46157" w:rsidR="005C15AE" w:rsidP="00EC3F61" w:rsidRDefault="005C15AE">
      <w:pPr>
        <w:ind w:left="709" w:hanging="709"/>
        <w:rPr>
          <w:rFonts w:cs="Arial"/>
          <w:b/>
          <w:sz w:val="26"/>
          <w:szCs w:val="26"/>
        </w:rPr>
      </w:pPr>
    </w:p>
    <w:p w:rsidRPr="00B46157" w:rsidR="002B4E40" w:rsidP="00EC3F61" w:rsidRDefault="002B4E40">
      <w:pPr>
        <w:pStyle w:val="ListParagraph"/>
        <w:numPr>
          <w:ilvl w:val="0"/>
          <w:numId w:val="1"/>
        </w:numPr>
        <w:ind w:left="709" w:hanging="709"/>
        <w:rPr>
          <w:rFonts w:cs="Arial"/>
          <w:b/>
          <w:sz w:val="26"/>
          <w:szCs w:val="26"/>
        </w:rPr>
      </w:pPr>
      <w:r w:rsidRPr="00B46157">
        <w:rPr>
          <w:rFonts w:cs="Arial"/>
          <w:b/>
          <w:sz w:val="26"/>
          <w:szCs w:val="26"/>
          <w:u w:val="single"/>
        </w:rPr>
        <w:t>Information and Analysis</w:t>
      </w:r>
    </w:p>
    <w:p w:rsidRPr="00503E44" w:rsidR="008619E4" w:rsidP="00EC3F61" w:rsidRDefault="008619E4">
      <w:pPr>
        <w:rPr>
          <w:rFonts w:cs="Arial"/>
          <w:sz w:val="22"/>
          <w:szCs w:val="26"/>
        </w:rPr>
      </w:pPr>
    </w:p>
    <w:p w:rsidR="006D1867" w:rsidP="006D1867" w:rsidRDefault="006D1867">
      <w:pPr>
        <w:rPr>
          <w:rFonts w:cs="Arial"/>
          <w:sz w:val="26"/>
          <w:szCs w:val="26"/>
        </w:rPr>
      </w:pPr>
      <w:r w:rsidRPr="006D1867">
        <w:rPr>
          <w:rFonts w:cs="Arial"/>
          <w:sz w:val="26"/>
          <w:szCs w:val="26"/>
        </w:rPr>
        <w:t xml:space="preserve">The government published its </w:t>
      </w:r>
      <w:r w:rsidR="00847CEB">
        <w:rPr>
          <w:rFonts w:cs="Arial"/>
          <w:sz w:val="26"/>
          <w:szCs w:val="26"/>
        </w:rPr>
        <w:t xml:space="preserve">detailed </w:t>
      </w:r>
      <w:r w:rsidRPr="006D1867">
        <w:rPr>
          <w:rFonts w:cs="Arial"/>
          <w:sz w:val="26"/>
          <w:szCs w:val="26"/>
        </w:rPr>
        <w:t xml:space="preserve">proposals for a </w:t>
      </w:r>
      <w:r w:rsidR="00847CEB">
        <w:rPr>
          <w:rFonts w:cs="Arial"/>
          <w:sz w:val="26"/>
          <w:szCs w:val="26"/>
        </w:rPr>
        <w:t xml:space="preserve">NFF </w:t>
      </w:r>
      <w:r w:rsidRPr="006D1867">
        <w:rPr>
          <w:rFonts w:cs="Arial"/>
          <w:sz w:val="26"/>
          <w:szCs w:val="26"/>
        </w:rPr>
        <w:t xml:space="preserve">for mainstream schools on 14 December </w:t>
      </w:r>
      <w:proofErr w:type="gramStart"/>
      <w:r w:rsidRPr="006D1867">
        <w:rPr>
          <w:rFonts w:cs="Arial"/>
          <w:sz w:val="26"/>
          <w:szCs w:val="26"/>
        </w:rPr>
        <w:t>2016,</w:t>
      </w:r>
      <w:proofErr w:type="gramEnd"/>
      <w:r w:rsidRPr="006D1867">
        <w:rPr>
          <w:rFonts w:cs="Arial"/>
          <w:sz w:val="26"/>
          <w:szCs w:val="26"/>
        </w:rPr>
        <w:t xml:space="preserve"> the closing date for responses is 22 March 2017.  Work is ongoing to analyse and understand the implications of the changes and this report summarises the key issues and impacts identified to date. N.B. </w:t>
      </w:r>
      <w:r w:rsidR="00A87AE4">
        <w:rPr>
          <w:rFonts w:cs="Arial"/>
          <w:sz w:val="26"/>
          <w:szCs w:val="26"/>
        </w:rPr>
        <w:t>f</w:t>
      </w:r>
      <w:r w:rsidRPr="006D1867">
        <w:rPr>
          <w:rFonts w:cs="Arial"/>
          <w:sz w:val="26"/>
          <w:szCs w:val="26"/>
        </w:rPr>
        <w:t xml:space="preserve">igures in brackets </w:t>
      </w:r>
      <w:r w:rsidR="00A87AE4">
        <w:rPr>
          <w:rFonts w:cs="Arial"/>
          <w:sz w:val="26"/>
          <w:szCs w:val="26"/>
        </w:rPr>
        <w:t xml:space="preserve">denote </w:t>
      </w:r>
      <w:r w:rsidRPr="006D1867">
        <w:rPr>
          <w:rFonts w:cs="Arial"/>
          <w:sz w:val="26"/>
          <w:szCs w:val="26"/>
        </w:rPr>
        <w:t>paragraph referenc</w:t>
      </w:r>
      <w:r w:rsidR="00847CEB">
        <w:rPr>
          <w:rFonts w:cs="Arial"/>
          <w:sz w:val="26"/>
          <w:szCs w:val="26"/>
        </w:rPr>
        <w:t xml:space="preserve">es </w:t>
      </w:r>
      <w:r w:rsidR="00A87AE4">
        <w:rPr>
          <w:rFonts w:cs="Arial"/>
          <w:sz w:val="26"/>
          <w:szCs w:val="26"/>
        </w:rPr>
        <w:t xml:space="preserve">in </w:t>
      </w:r>
      <w:r w:rsidR="00847CEB">
        <w:rPr>
          <w:rFonts w:cs="Arial"/>
          <w:sz w:val="26"/>
          <w:szCs w:val="26"/>
        </w:rPr>
        <w:t>the consultation document</w:t>
      </w:r>
      <w:r w:rsidR="00A87AE4">
        <w:rPr>
          <w:rFonts w:cs="Arial"/>
          <w:sz w:val="26"/>
          <w:szCs w:val="26"/>
        </w:rPr>
        <w:t xml:space="preserve">, </w:t>
      </w:r>
      <w:r w:rsidR="00847CEB">
        <w:rPr>
          <w:rFonts w:cs="Arial"/>
          <w:sz w:val="26"/>
          <w:szCs w:val="26"/>
        </w:rPr>
        <w:t>copies of the full consultation documents can be found at:</w:t>
      </w:r>
    </w:p>
    <w:p w:rsidRPr="00847CEB" w:rsidR="00847CEB" w:rsidP="006D1867" w:rsidRDefault="00847CEB">
      <w:pPr>
        <w:rPr>
          <w:rFonts w:cs="Arial"/>
          <w:sz w:val="10"/>
          <w:szCs w:val="26"/>
        </w:rPr>
      </w:pPr>
    </w:p>
    <w:p w:rsidRPr="00EC56F4" w:rsidR="00847CEB" w:rsidP="006D1867" w:rsidRDefault="005806B7">
      <w:pPr>
        <w:rPr>
          <w:rFonts w:cs="Arial"/>
          <w:szCs w:val="24"/>
        </w:rPr>
      </w:pPr>
      <w:hyperlink w:history="1" r:id="rId9">
        <w:r w:rsidRPr="00EC56F4" w:rsidR="00847CEB">
          <w:rPr>
            <w:rStyle w:val="Hyperlink"/>
            <w:rFonts w:cs="Arial"/>
            <w:szCs w:val="24"/>
          </w:rPr>
          <w:t>https://consult.education.gov.uk/funding-policy-unit/schools-national-funding-formula2/</w:t>
        </w:r>
      </w:hyperlink>
      <w:r w:rsidRPr="00EC56F4" w:rsidR="00847CEB">
        <w:rPr>
          <w:rFonts w:cs="Arial"/>
          <w:szCs w:val="24"/>
        </w:rPr>
        <w:t xml:space="preserve"> </w:t>
      </w:r>
    </w:p>
    <w:p w:rsidRPr="00847CEB" w:rsidR="006D1867" w:rsidP="0039367C" w:rsidRDefault="006D1867">
      <w:pPr>
        <w:rPr>
          <w:rFonts w:cs="Arial"/>
          <w:sz w:val="14"/>
          <w:szCs w:val="26"/>
        </w:rPr>
      </w:pPr>
    </w:p>
    <w:p w:rsidRPr="006D1867" w:rsidR="006D1867" w:rsidP="006D1867" w:rsidRDefault="006D1867">
      <w:pPr>
        <w:rPr>
          <w:rFonts w:cs="Arial"/>
          <w:b/>
          <w:sz w:val="26"/>
          <w:szCs w:val="26"/>
          <w:u w:val="single"/>
        </w:rPr>
      </w:pPr>
      <w:r w:rsidRPr="006D1867">
        <w:rPr>
          <w:rFonts w:cs="Arial"/>
          <w:b/>
          <w:sz w:val="26"/>
          <w:szCs w:val="26"/>
        </w:rPr>
        <w:t>2.1</w:t>
      </w:r>
      <w:r w:rsidRPr="006D1867">
        <w:rPr>
          <w:rFonts w:cs="Arial"/>
          <w:b/>
          <w:sz w:val="26"/>
          <w:szCs w:val="26"/>
        </w:rPr>
        <w:tab/>
      </w:r>
      <w:r w:rsidRPr="008428E3" w:rsidR="008428E3">
        <w:rPr>
          <w:rFonts w:cs="Arial"/>
          <w:b/>
          <w:sz w:val="26"/>
          <w:szCs w:val="26"/>
          <w:u w:val="single"/>
        </w:rPr>
        <w:t xml:space="preserve">The </w:t>
      </w:r>
      <w:r w:rsidR="008428E3">
        <w:rPr>
          <w:rFonts w:cs="Arial"/>
          <w:b/>
          <w:sz w:val="26"/>
          <w:szCs w:val="26"/>
          <w:u w:val="single"/>
        </w:rPr>
        <w:t xml:space="preserve">proposed </w:t>
      </w:r>
      <w:r w:rsidRPr="008428E3" w:rsidR="008428E3">
        <w:rPr>
          <w:rFonts w:cs="Arial"/>
          <w:b/>
          <w:sz w:val="26"/>
          <w:szCs w:val="26"/>
          <w:u w:val="single"/>
        </w:rPr>
        <w:t>National Funding Formula</w:t>
      </w:r>
      <w:r w:rsidR="008428E3">
        <w:rPr>
          <w:rFonts w:cs="Arial"/>
          <w:b/>
          <w:sz w:val="26"/>
          <w:szCs w:val="26"/>
        </w:rPr>
        <w:t xml:space="preserve"> </w:t>
      </w:r>
    </w:p>
    <w:p w:rsidRPr="006D1867" w:rsidR="006D1867" w:rsidP="006D1867" w:rsidRDefault="006D1867">
      <w:pPr>
        <w:rPr>
          <w:rFonts w:cs="Arial"/>
          <w:sz w:val="26"/>
          <w:szCs w:val="26"/>
        </w:rPr>
      </w:pPr>
    </w:p>
    <w:p w:rsidRPr="006D1867" w:rsidR="006D1867" w:rsidP="006D1867" w:rsidRDefault="00D0770E">
      <w:pPr>
        <w:rPr>
          <w:rFonts w:cs="Arial"/>
          <w:sz w:val="26"/>
          <w:szCs w:val="26"/>
        </w:rPr>
      </w:pPr>
      <w:r>
        <w:rPr>
          <w:rFonts w:cs="Arial"/>
          <w:sz w:val="26"/>
          <w:szCs w:val="26"/>
        </w:rPr>
        <w:t xml:space="preserve">A </w:t>
      </w:r>
      <w:r w:rsidRPr="006D1867" w:rsidR="006D1867">
        <w:rPr>
          <w:rFonts w:cs="Arial"/>
          <w:sz w:val="26"/>
          <w:szCs w:val="26"/>
        </w:rPr>
        <w:t>“</w:t>
      </w:r>
      <w:r>
        <w:rPr>
          <w:rFonts w:cs="Arial"/>
          <w:sz w:val="26"/>
          <w:szCs w:val="26"/>
        </w:rPr>
        <w:t>s</w:t>
      </w:r>
      <w:r w:rsidRPr="006D1867" w:rsidR="006D1867">
        <w:rPr>
          <w:rFonts w:cs="Arial"/>
          <w:sz w:val="26"/>
          <w:szCs w:val="26"/>
        </w:rPr>
        <w:t xml:space="preserve">oft” version of </w:t>
      </w:r>
      <w:r>
        <w:rPr>
          <w:rFonts w:cs="Arial"/>
          <w:sz w:val="26"/>
          <w:szCs w:val="26"/>
        </w:rPr>
        <w:t xml:space="preserve">the </w:t>
      </w:r>
      <w:r w:rsidR="008428E3">
        <w:rPr>
          <w:rFonts w:cs="Arial"/>
          <w:sz w:val="26"/>
          <w:szCs w:val="26"/>
        </w:rPr>
        <w:t xml:space="preserve">NFF </w:t>
      </w:r>
      <w:r>
        <w:rPr>
          <w:rFonts w:cs="Arial"/>
          <w:sz w:val="26"/>
          <w:szCs w:val="26"/>
        </w:rPr>
        <w:t xml:space="preserve">will </w:t>
      </w:r>
      <w:r w:rsidRPr="006D1867" w:rsidR="006D1867">
        <w:rPr>
          <w:rFonts w:cs="Arial"/>
          <w:sz w:val="26"/>
          <w:szCs w:val="26"/>
        </w:rPr>
        <w:t xml:space="preserve">be introduced from 2018-19 i.e. the </w:t>
      </w:r>
      <w:r>
        <w:rPr>
          <w:rFonts w:cs="Arial"/>
          <w:sz w:val="26"/>
          <w:szCs w:val="26"/>
        </w:rPr>
        <w:t xml:space="preserve">NFF </w:t>
      </w:r>
      <w:r w:rsidRPr="006D1867" w:rsidR="006D1867">
        <w:rPr>
          <w:rFonts w:cs="Arial"/>
          <w:sz w:val="26"/>
          <w:szCs w:val="26"/>
        </w:rPr>
        <w:t>will drive the allocations to LAs but allocations to schools can still be based upon local formula</w:t>
      </w:r>
      <w:r>
        <w:rPr>
          <w:rFonts w:cs="Arial"/>
          <w:sz w:val="26"/>
          <w:szCs w:val="26"/>
        </w:rPr>
        <w:t>e.</w:t>
      </w:r>
      <w:r w:rsidR="00847CEB">
        <w:rPr>
          <w:rFonts w:cs="Arial"/>
          <w:sz w:val="26"/>
          <w:szCs w:val="26"/>
        </w:rPr>
        <w:t xml:space="preserve">  </w:t>
      </w:r>
      <w:r>
        <w:rPr>
          <w:rFonts w:cs="Arial"/>
          <w:sz w:val="26"/>
          <w:szCs w:val="26"/>
        </w:rPr>
        <w:t xml:space="preserve">From </w:t>
      </w:r>
      <w:r w:rsidRPr="006D1867" w:rsidR="006D1867">
        <w:rPr>
          <w:rFonts w:cs="Arial"/>
          <w:sz w:val="26"/>
          <w:szCs w:val="26"/>
        </w:rPr>
        <w:t>2019-20 a “</w:t>
      </w:r>
      <w:r>
        <w:rPr>
          <w:rFonts w:cs="Arial"/>
          <w:sz w:val="26"/>
          <w:szCs w:val="26"/>
        </w:rPr>
        <w:t>h</w:t>
      </w:r>
      <w:r w:rsidRPr="006D1867" w:rsidR="006D1867">
        <w:rPr>
          <w:rFonts w:cs="Arial"/>
          <w:sz w:val="26"/>
          <w:szCs w:val="26"/>
        </w:rPr>
        <w:t xml:space="preserve">ard” national formula </w:t>
      </w:r>
      <w:r>
        <w:rPr>
          <w:rFonts w:cs="Arial"/>
          <w:sz w:val="26"/>
          <w:szCs w:val="26"/>
        </w:rPr>
        <w:t xml:space="preserve">will be in place </w:t>
      </w:r>
      <w:r w:rsidRPr="006D1867" w:rsidR="006D1867">
        <w:rPr>
          <w:rFonts w:cs="Arial"/>
          <w:sz w:val="26"/>
          <w:szCs w:val="26"/>
        </w:rPr>
        <w:t xml:space="preserve">i.e. no/very limited local discretion. This means </w:t>
      </w:r>
      <w:r w:rsidR="007E168A">
        <w:rPr>
          <w:rFonts w:cs="Arial"/>
          <w:sz w:val="26"/>
          <w:szCs w:val="26"/>
        </w:rPr>
        <w:t xml:space="preserve">that in effect </w:t>
      </w:r>
      <w:r w:rsidRPr="006D1867" w:rsidR="006D1867">
        <w:rPr>
          <w:rFonts w:cs="Arial"/>
          <w:sz w:val="26"/>
          <w:szCs w:val="26"/>
        </w:rPr>
        <w:t xml:space="preserve">there is only </w:t>
      </w:r>
      <w:r w:rsidRPr="006D1867" w:rsidR="006D1867">
        <w:rPr>
          <w:rFonts w:cs="Arial"/>
          <w:sz w:val="26"/>
          <w:szCs w:val="26"/>
          <w:u w:val="single"/>
        </w:rPr>
        <w:t>one year of transition</w:t>
      </w:r>
      <w:r w:rsidRPr="006D1867" w:rsidR="006D1867">
        <w:rPr>
          <w:rFonts w:cs="Arial"/>
          <w:sz w:val="26"/>
          <w:szCs w:val="26"/>
        </w:rPr>
        <w:t xml:space="preserve"> i.e. 2018-19</w:t>
      </w:r>
      <w:r>
        <w:rPr>
          <w:rFonts w:cs="Arial"/>
          <w:sz w:val="26"/>
          <w:szCs w:val="26"/>
        </w:rPr>
        <w:t>.</w:t>
      </w:r>
    </w:p>
    <w:p w:rsidRPr="006D1867" w:rsidR="006D1867" w:rsidP="006D1867" w:rsidRDefault="006D1867">
      <w:pPr>
        <w:rPr>
          <w:rFonts w:cs="Arial"/>
          <w:sz w:val="26"/>
          <w:szCs w:val="26"/>
        </w:rPr>
      </w:pPr>
    </w:p>
    <w:p w:rsidRPr="006D1867" w:rsidR="006D1867" w:rsidP="006D1867" w:rsidRDefault="007E168A">
      <w:pPr>
        <w:rPr>
          <w:rFonts w:cs="Arial"/>
          <w:sz w:val="26"/>
          <w:szCs w:val="26"/>
        </w:rPr>
      </w:pPr>
      <w:r>
        <w:rPr>
          <w:rFonts w:cs="Arial"/>
          <w:sz w:val="26"/>
          <w:szCs w:val="26"/>
        </w:rPr>
        <w:t xml:space="preserve">The </w:t>
      </w:r>
      <w:r w:rsidRPr="006D1867" w:rsidR="006D1867">
        <w:rPr>
          <w:rFonts w:cs="Arial"/>
          <w:sz w:val="26"/>
          <w:szCs w:val="26"/>
        </w:rPr>
        <w:t xml:space="preserve">National </w:t>
      </w:r>
      <w:r>
        <w:rPr>
          <w:rFonts w:cs="Arial"/>
          <w:sz w:val="26"/>
          <w:szCs w:val="26"/>
        </w:rPr>
        <w:t>F</w:t>
      </w:r>
      <w:r w:rsidRPr="006D1867" w:rsidR="006D1867">
        <w:rPr>
          <w:rFonts w:cs="Arial"/>
          <w:sz w:val="26"/>
          <w:szCs w:val="26"/>
        </w:rPr>
        <w:t xml:space="preserve">unding </w:t>
      </w:r>
      <w:r>
        <w:rPr>
          <w:rFonts w:cs="Arial"/>
          <w:sz w:val="26"/>
          <w:szCs w:val="26"/>
        </w:rPr>
        <w:t>F</w:t>
      </w:r>
      <w:r w:rsidRPr="006D1867" w:rsidR="006D1867">
        <w:rPr>
          <w:rFonts w:cs="Arial"/>
          <w:sz w:val="26"/>
          <w:szCs w:val="26"/>
        </w:rPr>
        <w:t xml:space="preserve">ormula will have the following </w:t>
      </w:r>
      <w:r w:rsidR="00AB0F98">
        <w:rPr>
          <w:rFonts w:cs="Arial"/>
          <w:sz w:val="26"/>
          <w:szCs w:val="26"/>
        </w:rPr>
        <w:t xml:space="preserve">13 </w:t>
      </w:r>
      <w:r w:rsidRPr="006D1867" w:rsidR="006D1867">
        <w:rPr>
          <w:rFonts w:cs="Arial"/>
          <w:sz w:val="26"/>
          <w:szCs w:val="26"/>
        </w:rPr>
        <w:t>factors (1.3):</w:t>
      </w:r>
    </w:p>
    <w:p w:rsidR="006D1867" w:rsidP="006D1867" w:rsidRDefault="006D1867">
      <w:pPr>
        <w:rPr>
          <w:rFonts w:cs="Arial"/>
          <w:szCs w:val="24"/>
        </w:rPr>
      </w:pPr>
    </w:p>
    <w:p w:rsidRPr="007A6B49" w:rsidR="006D1867" w:rsidP="008428E3" w:rsidRDefault="006D1867">
      <w:pPr>
        <w:ind w:left="-567"/>
        <w:rPr>
          <w:rFonts w:cs="Arial"/>
          <w:szCs w:val="24"/>
        </w:rPr>
      </w:pPr>
      <w:r>
        <w:rPr>
          <w:rFonts w:cs="Arial"/>
          <w:noProof/>
          <w:szCs w:val="24"/>
          <w:lang w:eastAsia="en-GB"/>
        </w:rPr>
        <w:drawing>
          <wp:inline distT="0" distB="0" distL="0" distR="0" wp14:anchorId="24F6E9CA" wp14:editId="2F73BBC2">
            <wp:extent cx="6946711" cy="2917182"/>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67563" cy="2925939"/>
                    </a:xfrm>
                    <a:prstGeom prst="rect">
                      <a:avLst/>
                    </a:prstGeom>
                    <a:noFill/>
                    <a:ln>
                      <a:noFill/>
                    </a:ln>
                  </pic:spPr>
                </pic:pic>
              </a:graphicData>
            </a:graphic>
          </wp:inline>
        </w:drawing>
      </w:r>
    </w:p>
    <w:p w:rsidR="006D1867" w:rsidP="006D1867" w:rsidRDefault="006D1867">
      <w:pPr>
        <w:rPr>
          <w:rFonts w:cs="Arial"/>
          <w:sz w:val="26"/>
          <w:szCs w:val="26"/>
        </w:rPr>
      </w:pPr>
    </w:p>
    <w:p w:rsidR="008428E3" w:rsidP="006D1867" w:rsidRDefault="008428E3">
      <w:pPr>
        <w:rPr>
          <w:rFonts w:cs="Arial"/>
          <w:sz w:val="26"/>
          <w:szCs w:val="26"/>
        </w:rPr>
      </w:pPr>
    </w:p>
    <w:p w:rsidRPr="006D1867" w:rsidR="006D1867" w:rsidP="006D1867" w:rsidRDefault="006D1867">
      <w:pPr>
        <w:rPr>
          <w:rFonts w:cs="Arial"/>
          <w:sz w:val="26"/>
          <w:szCs w:val="26"/>
        </w:rPr>
      </w:pPr>
      <w:r w:rsidRPr="006D1867">
        <w:rPr>
          <w:rFonts w:cs="Arial"/>
          <w:sz w:val="26"/>
          <w:szCs w:val="26"/>
        </w:rPr>
        <w:lastRenderedPageBreak/>
        <w:t xml:space="preserve">The proposed NFF formula indicators and </w:t>
      </w:r>
      <w:r w:rsidR="008428E3">
        <w:rPr>
          <w:rFonts w:cs="Arial"/>
          <w:sz w:val="26"/>
          <w:szCs w:val="26"/>
        </w:rPr>
        <w:t>their values (</w:t>
      </w:r>
      <w:r w:rsidRPr="006D1867">
        <w:rPr>
          <w:rFonts w:cs="Arial"/>
          <w:sz w:val="26"/>
          <w:szCs w:val="26"/>
        </w:rPr>
        <w:t>multipliers</w:t>
      </w:r>
      <w:r w:rsidR="008428E3">
        <w:rPr>
          <w:rFonts w:cs="Arial"/>
          <w:sz w:val="26"/>
          <w:szCs w:val="26"/>
        </w:rPr>
        <w:t xml:space="preserve">) </w:t>
      </w:r>
      <w:r w:rsidRPr="006D1867">
        <w:rPr>
          <w:rFonts w:cs="Arial"/>
          <w:sz w:val="26"/>
          <w:szCs w:val="26"/>
        </w:rPr>
        <w:t>are as follows:</w:t>
      </w:r>
    </w:p>
    <w:p w:rsidRPr="006D1867" w:rsidR="006D1867" w:rsidP="006D1867" w:rsidRDefault="006D1867">
      <w:pPr>
        <w:rPr>
          <w:rFonts w:cs="Arial"/>
          <w:sz w:val="26"/>
          <w:szCs w:val="26"/>
        </w:rPr>
      </w:pPr>
    </w:p>
    <w:tbl>
      <w:tblPr>
        <w:tblStyle w:val="TableGrid"/>
        <w:tblW w:w="10284" w:type="dxa"/>
        <w:tblInd w:w="-318" w:type="dxa"/>
        <w:tblLook w:val="04A0" w:firstRow="1" w:lastRow="0" w:firstColumn="1" w:lastColumn="0" w:noHBand="0" w:noVBand="1"/>
      </w:tblPr>
      <w:tblGrid>
        <w:gridCol w:w="3545"/>
        <w:gridCol w:w="3590"/>
        <w:gridCol w:w="1647"/>
        <w:gridCol w:w="1502"/>
      </w:tblGrid>
      <w:tr w:rsidRPr="006D1867" w:rsidR="006D1867" w:rsidTr="006D1867">
        <w:tc>
          <w:tcPr>
            <w:tcW w:w="3545" w:type="dxa"/>
          </w:tcPr>
          <w:p w:rsidRPr="006D1867" w:rsidR="006D1867" w:rsidP="006A3EEC" w:rsidRDefault="006D1867">
            <w:pPr>
              <w:rPr>
                <w:rFonts w:ascii="Arial" w:hAnsi="Arial" w:cs="Arial"/>
                <w:b/>
                <w:color w:val="000000"/>
                <w:sz w:val="26"/>
                <w:szCs w:val="26"/>
              </w:rPr>
            </w:pPr>
          </w:p>
        </w:tc>
        <w:tc>
          <w:tcPr>
            <w:tcW w:w="3590" w:type="dxa"/>
            <w:vAlign w:val="bottom"/>
          </w:tcPr>
          <w:p w:rsidRPr="006D1867" w:rsidR="006D1867" w:rsidP="006A3EEC" w:rsidRDefault="006D1867">
            <w:pPr>
              <w:rPr>
                <w:rFonts w:ascii="Arial" w:hAnsi="Arial" w:cs="Arial"/>
                <w:b/>
                <w:color w:val="000000"/>
                <w:sz w:val="26"/>
                <w:szCs w:val="26"/>
              </w:rPr>
            </w:pPr>
          </w:p>
        </w:tc>
        <w:tc>
          <w:tcPr>
            <w:tcW w:w="3149" w:type="dxa"/>
            <w:gridSpan w:val="2"/>
            <w:vAlign w:val="bottom"/>
          </w:tcPr>
          <w:p w:rsidRPr="006D1867" w:rsidR="006D1867" w:rsidP="006A3EEC" w:rsidRDefault="006D1867">
            <w:pPr>
              <w:jc w:val="center"/>
              <w:rPr>
                <w:rFonts w:ascii="Arial" w:hAnsi="Arial" w:cs="Arial"/>
                <w:b/>
                <w:bCs/>
                <w:color w:val="000000"/>
                <w:sz w:val="26"/>
                <w:szCs w:val="26"/>
              </w:rPr>
            </w:pPr>
            <w:r w:rsidRPr="006D1867">
              <w:rPr>
                <w:rFonts w:ascii="Arial" w:hAnsi="Arial" w:cs="Arial"/>
                <w:b/>
                <w:bCs/>
                <w:color w:val="000000"/>
                <w:sz w:val="26"/>
                <w:szCs w:val="26"/>
              </w:rPr>
              <w:t>Multipliers</w:t>
            </w:r>
          </w:p>
        </w:tc>
      </w:tr>
      <w:tr w:rsidRPr="006D1867" w:rsidR="006D1867" w:rsidTr="006D1867">
        <w:tc>
          <w:tcPr>
            <w:tcW w:w="7135" w:type="dxa"/>
            <w:gridSpan w:val="2"/>
          </w:tcPr>
          <w:p w:rsidRPr="006D1867" w:rsidR="006D1867" w:rsidP="006A3EEC" w:rsidRDefault="006D1867">
            <w:pPr>
              <w:rPr>
                <w:rFonts w:ascii="Arial" w:hAnsi="Arial" w:cs="Arial"/>
                <w:b/>
                <w:color w:val="000000"/>
                <w:sz w:val="26"/>
                <w:szCs w:val="26"/>
              </w:rPr>
            </w:pPr>
            <w:r w:rsidRPr="006D1867">
              <w:rPr>
                <w:rFonts w:ascii="Arial" w:hAnsi="Arial" w:cs="Arial"/>
                <w:b/>
                <w:color w:val="000000"/>
                <w:sz w:val="26"/>
                <w:szCs w:val="26"/>
              </w:rPr>
              <w:t>2016-17 Primary Sector Factors</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Derbyshire </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National </w:t>
            </w:r>
          </w:p>
        </w:tc>
      </w:tr>
      <w:tr w:rsidRPr="006D1867" w:rsidR="006D1867" w:rsidTr="006D1867">
        <w:tc>
          <w:tcPr>
            <w:tcW w:w="3545" w:type="dxa"/>
          </w:tcPr>
          <w:p w:rsidRPr="006D1867" w:rsidR="006D1867" w:rsidP="006A3EEC" w:rsidRDefault="006D1867">
            <w:pPr>
              <w:rPr>
                <w:rFonts w:ascii="Arial" w:hAnsi="Arial" w:cs="Arial"/>
                <w:b/>
                <w:bCs/>
                <w:color w:val="000000"/>
                <w:sz w:val="26"/>
                <w:szCs w:val="26"/>
              </w:rPr>
            </w:pPr>
          </w:p>
        </w:tc>
        <w:tc>
          <w:tcPr>
            <w:tcW w:w="3590" w:type="dxa"/>
            <w:vAlign w:val="bottom"/>
          </w:tcPr>
          <w:p w:rsidRPr="006D1867" w:rsidR="006D1867" w:rsidP="006A3EEC" w:rsidRDefault="006D1867">
            <w:pPr>
              <w:rPr>
                <w:rFonts w:ascii="Arial" w:hAnsi="Arial" w:cs="Arial"/>
                <w:b/>
                <w:bCs/>
                <w:color w:val="000000"/>
                <w:sz w:val="26"/>
                <w:szCs w:val="26"/>
              </w:rPr>
            </w:pPr>
            <w:r w:rsidRPr="006D1867">
              <w:rPr>
                <w:rFonts w:ascii="Arial" w:hAnsi="Arial" w:cs="Arial"/>
                <w:b/>
                <w:bCs/>
                <w:color w:val="000000"/>
                <w:sz w:val="26"/>
                <w:szCs w:val="26"/>
              </w:rPr>
              <w:t> </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r>
      <w:tr w:rsidRPr="006D1867" w:rsidR="006D1867" w:rsidTr="006D1867">
        <w:tc>
          <w:tcPr>
            <w:tcW w:w="3545" w:type="dxa"/>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Basic per pupil funding</w:t>
            </w: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AWPU – Key Stage 1 &amp; 2</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     2,648 </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2,712</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Additional needs funding</w:t>
            </w:r>
          </w:p>
        </w:tc>
        <w:tc>
          <w:tcPr>
            <w:tcW w:w="3590" w:type="dxa"/>
            <w:vMerge w:val="restart"/>
            <w:vAlign w:val="bottom"/>
          </w:tcPr>
          <w:p w:rsidRPr="006D1867" w:rsidR="006D1867" w:rsidP="006D1867" w:rsidRDefault="006D1867">
            <w:pPr>
              <w:ind w:firstLine="260" w:firstLineChars="100"/>
              <w:rPr>
                <w:rFonts w:ascii="Arial" w:hAnsi="Arial" w:cs="Arial"/>
                <w:color w:val="000000"/>
                <w:sz w:val="26"/>
                <w:szCs w:val="26"/>
              </w:rPr>
            </w:pPr>
            <w:r w:rsidRPr="006D1867">
              <w:rPr>
                <w:rFonts w:cs="Arial"/>
                <w:noProof/>
                <w:color w:val="000000"/>
                <w:sz w:val="26"/>
                <w:szCs w:val="26"/>
                <w:lang w:eastAsia="en-GB"/>
              </w:rPr>
              <mc:AlternateContent>
                <mc:Choice Requires="wps">
                  <w:drawing>
                    <wp:anchor distT="0" distB="0" distL="114300" distR="114300" simplePos="0" relativeHeight="251665408" behindDoc="0" locked="0" layoutInCell="1" allowOverlap="1" wp14:editId="5ABC944B" wp14:anchorId="2B96FEE0">
                      <wp:simplePos x="0" y="0"/>
                      <wp:positionH relativeFrom="column">
                        <wp:posOffset>1910080</wp:posOffset>
                      </wp:positionH>
                      <wp:positionV relativeFrom="paragraph">
                        <wp:posOffset>-32385</wp:posOffset>
                      </wp:positionV>
                      <wp:extent cx="356235" cy="4032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403225"/>
                              </a:xfrm>
                              <a:prstGeom prst="rect">
                                <a:avLst/>
                              </a:prstGeom>
                              <a:noFill/>
                              <a:ln w="9525">
                                <a:noFill/>
                                <a:miter lim="800000"/>
                                <a:headEnd/>
                                <a:tailEnd/>
                              </a:ln>
                            </wps:spPr>
                            <wps:txbx>
                              <w:txbxContent>
                                <w:p w:rsidRPr="006D1867" w:rsidR="006A3EEC" w:rsidP="006D1867" w:rsidRDefault="006A3EEC">
                                  <w:pPr>
                                    <w:jc w:val="right"/>
                                    <w:rPr>
                                      <w:sz w:val="22"/>
                                    </w:rPr>
                                  </w:pPr>
                                  <w:r w:rsidRPr="006D1867">
                                    <w:rPr>
                                      <w:sz w:val="22"/>
                                    </w:rP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150.4pt;margin-top:-2.55pt;width:28.05pt;height: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">
                      <v:textbox>
                        <w:txbxContent>
                          <w:p w:rsidRPr="006D1867" w:rsidR="006A3EEC" w:rsidP="006D1867" w:rsidRDefault="006A3EEC">
                            <w:pPr>
                              <w:jc w:val="right"/>
                              <w:rPr>
                                <w:sz w:val="22"/>
                              </w:rPr>
                            </w:pPr>
                            <w:r w:rsidRPr="006D1867">
                              <w:rPr>
                                <w:sz w:val="22"/>
                              </w:rPr>
                              <w:t>Or</w:t>
                            </w:r>
                          </w:p>
                        </w:txbxContent>
                      </v:textbox>
                    </v:shape>
                  </w:pict>
                </mc:Fallback>
              </mc:AlternateContent>
            </w:r>
            <w:r w:rsidRPr="006D1867">
              <w:rPr>
                <w:rFonts w:ascii="Arial" w:hAnsi="Arial" w:cs="Arial"/>
                <w:color w:val="000000"/>
                <w:sz w:val="26"/>
                <w:szCs w:val="26"/>
              </w:rPr>
              <w:t>Deprivation: Ever 6 FSM</w:t>
            </w:r>
          </w:p>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Current FSM</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     1,473</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540</w:t>
            </w:r>
          </w:p>
        </w:tc>
      </w:tr>
      <w:tr w:rsidRPr="006D1867" w:rsidR="006D1867" w:rsidTr="004D2DD2">
        <w:trPr>
          <w:trHeight w:val="265"/>
        </w:trPr>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Merge/>
            <w:vAlign w:val="bottom"/>
          </w:tcPr>
          <w:p w:rsidRPr="006D1867" w:rsidR="006D1867" w:rsidP="006D1867" w:rsidRDefault="006D1867">
            <w:pPr>
              <w:ind w:firstLine="260" w:firstLineChars="100"/>
              <w:rPr>
                <w:rFonts w:ascii="Arial" w:hAnsi="Arial" w:cs="Arial"/>
                <w:color w:val="000000"/>
                <w:sz w:val="26"/>
                <w:szCs w:val="26"/>
              </w:rPr>
            </w:pP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center"/>
          </w:tcPr>
          <w:p w:rsidRPr="006D1867" w:rsidR="006D1867" w:rsidP="004D2DD2" w:rsidRDefault="006D1867">
            <w:pPr>
              <w:jc w:val="right"/>
              <w:rPr>
                <w:rFonts w:ascii="Arial" w:hAnsi="Arial" w:cs="Arial"/>
                <w:color w:val="000000"/>
                <w:sz w:val="26"/>
                <w:szCs w:val="26"/>
              </w:rPr>
            </w:pPr>
            <w:r w:rsidRPr="006D1867">
              <w:rPr>
                <w:rFonts w:ascii="Arial" w:hAnsi="Arial" w:cs="Arial"/>
                <w:color w:val="000000"/>
                <w:sz w:val="26"/>
                <w:szCs w:val="26"/>
              </w:rPr>
              <w:t>980</w:t>
            </w:r>
          </w:p>
        </w:tc>
      </w:tr>
      <w:tr w:rsidRPr="006D1867" w:rsidR="006D1867" w:rsidTr="004D2DD2">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A</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center"/>
          </w:tcPr>
          <w:p w:rsidRPr="006D1867" w:rsidR="006D1867" w:rsidP="004D2DD2" w:rsidRDefault="006D1867">
            <w:pPr>
              <w:jc w:val="right"/>
              <w:rPr>
                <w:rFonts w:ascii="Arial" w:hAnsi="Arial" w:cs="Arial"/>
                <w:color w:val="000000"/>
                <w:sz w:val="26"/>
                <w:szCs w:val="26"/>
              </w:rPr>
            </w:pPr>
            <w:r w:rsidRPr="006D1867">
              <w:rPr>
                <w:rFonts w:ascii="Arial" w:hAnsi="Arial" w:cs="Arial"/>
                <w:color w:val="000000"/>
                <w:sz w:val="26"/>
                <w:szCs w:val="26"/>
              </w:rPr>
              <w:t>575</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B</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420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C</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360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D</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360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E</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240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F</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200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Prior attainment</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161</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1,050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EAL</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356 </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515</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School-led funding</w:t>
            </w: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Lump sum</w:t>
            </w:r>
          </w:p>
        </w:tc>
        <w:tc>
          <w:tcPr>
            <w:tcW w:w="1647"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129,622</w:t>
            </w:r>
          </w:p>
        </w:tc>
        <w:tc>
          <w:tcPr>
            <w:tcW w:w="150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110,000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Sparsity</w:t>
            </w:r>
          </w:p>
        </w:tc>
        <w:tc>
          <w:tcPr>
            <w:tcW w:w="1647" w:type="dxa"/>
            <w:vAlign w:val="center"/>
          </w:tcPr>
          <w:p w:rsidRPr="006D1867" w:rsidR="006D1867" w:rsidP="006D1867" w:rsidRDefault="006D1867">
            <w:pPr>
              <w:jc w:val="center"/>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Up to 25,000</w:t>
            </w:r>
          </w:p>
        </w:tc>
      </w:tr>
    </w:tbl>
    <w:p w:rsidRPr="006D1867" w:rsidR="006D1867" w:rsidP="006D1867" w:rsidRDefault="006D1867">
      <w:pPr>
        <w:rPr>
          <w:rFonts w:cs="Arial"/>
          <w:sz w:val="26"/>
          <w:szCs w:val="26"/>
        </w:rPr>
      </w:pPr>
    </w:p>
    <w:tbl>
      <w:tblPr>
        <w:tblStyle w:val="TableGrid"/>
        <w:tblW w:w="10284" w:type="dxa"/>
        <w:tblInd w:w="-318" w:type="dxa"/>
        <w:tblLook w:val="04A0" w:firstRow="1" w:lastRow="0" w:firstColumn="1" w:lastColumn="0" w:noHBand="0" w:noVBand="1"/>
      </w:tblPr>
      <w:tblGrid>
        <w:gridCol w:w="3545"/>
        <w:gridCol w:w="3590"/>
        <w:gridCol w:w="1647"/>
        <w:gridCol w:w="1502"/>
      </w:tblGrid>
      <w:tr w:rsidRPr="006D1867" w:rsidR="006D1867" w:rsidTr="006D1867">
        <w:tc>
          <w:tcPr>
            <w:tcW w:w="3545" w:type="dxa"/>
          </w:tcPr>
          <w:p w:rsidRPr="006D1867" w:rsidR="006D1867" w:rsidP="006A3EEC" w:rsidRDefault="006D1867">
            <w:pPr>
              <w:rPr>
                <w:rFonts w:ascii="Arial" w:hAnsi="Arial" w:cs="Arial"/>
                <w:b/>
                <w:color w:val="000000"/>
                <w:sz w:val="26"/>
                <w:szCs w:val="26"/>
              </w:rPr>
            </w:pPr>
          </w:p>
        </w:tc>
        <w:tc>
          <w:tcPr>
            <w:tcW w:w="3590" w:type="dxa"/>
            <w:vAlign w:val="bottom"/>
          </w:tcPr>
          <w:p w:rsidRPr="006D1867" w:rsidR="006D1867" w:rsidP="006A3EEC" w:rsidRDefault="006D1867">
            <w:pPr>
              <w:rPr>
                <w:rFonts w:ascii="Arial" w:hAnsi="Arial" w:cs="Arial"/>
                <w:b/>
                <w:color w:val="000000"/>
                <w:sz w:val="26"/>
                <w:szCs w:val="26"/>
              </w:rPr>
            </w:pPr>
          </w:p>
        </w:tc>
        <w:tc>
          <w:tcPr>
            <w:tcW w:w="3149" w:type="dxa"/>
            <w:gridSpan w:val="2"/>
            <w:vAlign w:val="bottom"/>
          </w:tcPr>
          <w:p w:rsidRPr="006D1867" w:rsidR="006D1867" w:rsidP="006A3EEC" w:rsidRDefault="006D1867">
            <w:pPr>
              <w:jc w:val="center"/>
              <w:rPr>
                <w:rFonts w:ascii="Arial" w:hAnsi="Arial" w:cs="Arial"/>
                <w:b/>
                <w:bCs/>
                <w:color w:val="000000"/>
                <w:sz w:val="26"/>
                <w:szCs w:val="26"/>
              </w:rPr>
            </w:pPr>
            <w:r w:rsidRPr="006D1867">
              <w:rPr>
                <w:rFonts w:ascii="Arial" w:hAnsi="Arial" w:cs="Arial"/>
                <w:b/>
                <w:bCs/>
                <w:color w:val="000000"/>
                <w:sz w:val="26"/>
                <w:szCs w:val="26"/>
              </w:rPr>
              <w:t>Multipliers</w:t>
            </w:r>
          </w:p>
        </w:tc>
      </w:tr>
      <w:tr w:rsidRPr="006D1867" w:rsidR="006D1867" w:rsidTr="006D1867">
        <w:tc>
          <w:tcPr>
            <w:tcW w:w="7135" w:type="dxa"/>
            <w:gridSpan w:val="2"/>
          </w:tcPr>
          <w:p w:rsidRPr="006D1867" w:rsidR="006D1867" w:rsidP="006A3EEC" w:rsidRDefault="006D1867">
            <w:pPr>
              <w:rPr>
                <w:rFonts w:ascii="Arial" w:hAnsi="Arial" w:cs="Arial"/>
                <w:b/>
                <w:color w:val="000000"/>
                <w:sz w:val="26"/>
                <w:szCs w:val="26"/>
              </w:rPr>
            </w:pPr>
            <w:r w:rsidRPr="006D1867">
              <w:rPr>
                <w:rFonts w:ascii="Arial" w:hAnsi="Arial" w:cs="Arial"/>
                <w:b/>
                <w:color w:val="000000"/>
                <w:sz w:val="26"/>
                <w:szCs w:val="26"/>
              </w:rPr>
              <w:t>2016-17 Secondary Sector Factors</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Derbyshire </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National </w:t>
            </w:r>
          </w:p>
        </w:tc>
      </w:tr>
      <w:tr w:rsidRPr="006D1867" w:rsidR="006D1867" w:rsidTr="006D1867">
        <w:tc>
          <w:tcPr>
            <w:tcW w:w="3545" w:type="dxa"/>
          </w:tcPr>
          <w:p w:rsidRPr="006D1867" w:rsidR="006D1867" w:rsidP="006A3EEC" w:rsidRDefault="006D1867">
            <w:pPr>
              <w:rPr>
                <w:rFonts w:ascii="Arial" w:hAnsi="Arial" w:cs="Arial"/>
                <w:b/>
                <w:bCs/>
                <w:color w:val="000000"/>
                <w:sz w:val="26"/>
                <w:szCs w:val="26"/>
              </w:rPr>
            </w:pPr>
          </w:p>
        </w:tc>
        <w:tc>
          <w:tcPr>
            <w:tcW w:w="3590" w:type="dxa"/>
            <w:vAlign w:val="bottom"/>
          </w:tcPr>
          <w:p w:rsidRPr="006D1867" w:rsidR="006D1867" w:rsidP="006A3EEC" w:rsidRDefault="006D1867">
            <w:pPr>
              <w:rPr>
                <w:rFonts w:ascii="Arial" w:hAnsi="Arial" w:cs="Arial"/>
                <w:b/>
                <w:bCs/>
                <w:color w:val="000000"/>
                <w:sz w:val="26"/>
                <w:szCs w:val="26"/>
              </w:rPr>
            </w:pPr>
            <w:r w:rsidRPr="006D1867">
              <w:rPr>
                <w:rFonts w:ascii="Arial" w:hAnsi="Arial" w:cs="Arial"/>
                <w:b/>
                <w:bCs/>
                <w:color w:val="000000"/>
                <w:sz w:val="26"/>
                <w:szCs w:val="26"/>
              </w:rPr>
              <w:t> </w:t>
            </w:r>
          </w:p>
        </w:tc>
        <w:tc>
          <w:tcPr>
            <w:tcW w:w="1647"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c>
          <w:tcPr>
            <w:tcW w:w="1502" w:type="dxa"/>
            <w:vAlign w:val="bottom"/>
          </w:tcPr>
          <w:p w:rsidRPr="006D1867" w:rsidR="006D1867" w:rsidP="006A3EEC" w:rsidRDefault="006D1867">
            <w:pPr>
              <w:jc w:val="right"/>
              <w:rPr>
                <w:rFonts w:ascii="Arial" w:hAnsi="Arial" w:cs="Arial"/>
                <w:b/>
                <w:bCs/>
                <w:color w:val="000000"/>
                <w:sz w:val="26"/>
                <w:szCs w:val="26"/>
              </w:rPr>
            </w:pPr>
            <w:r w:rsidRPr="006D1867">
              <w:rPr>
                <w:rFonts w:ascii="Arial" w:hAnsi="Arial" w:cs="Arial"/>
                <w:b/>
                <w:bCs/>
                <w:color w:val="000000"/>
                <w:sz w:val="26"/>
                <w:szCs w:val="26"/>
              </w:rPr>
              <w:t>£</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Basic per pupil funding</w:t>
            </w: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AWPU – Key Stage 3*</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3,734</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3,797</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AWPU – Key Stage 4*</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4,376</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4,312</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Additional needs funding</w:t>
            </w:r>
          </w:p>
        </w:tc>
        <w:tc>
          <w:tcPr>
            <w:tcW w:w="3590" w:type="dxa"/>
            <w:vMerge w:val="restart"/>
            <w:vAlign w:val="bottom"/>
          </w:tcPr>
          <w:p w:rsidRPr="006D1867" w:rsidR="006D1867" w:rsidP="006D1867" w:rsidRDefault="006D1867">
            <w:pPr>
              <w:ind w:firstLine="260" w:firstLineChars="100"/>
              <w:rPr>
                <w:rFonts w:ascii="Arial" w:hAnsi="Arial" w:cs="Arial"/>
                <w:color w:val="000000"/>
                <w:sz w:val="26"/>
                <w:szCs w:val="26"/>
              </w:rPr>
            </w:pPr>
            <w:r w:rsidRPr="006D1867">
              <w:rPr>
                <w:rFonts w:cs="Arial"/>
                <w:noProof/>
                <w:color w:val="000000"/>
                <w:sz w:val="26"/>
                <w:szCs w:val="26"/>
                <w:lang w:eastAsia="en-GB"/>
              </w:rPr>
              <mc:AlternateContent>
                <mc:Choice Requires="wps">
                  <w:drawing>
                    <wp:anchor distT="0" distB="0" distL="114300" distR="114300" simplePos="0" relativeHeight="251668480" behindDoc="0" locked="0" layoutInCell="1" allowOverlap="1" wp14:editId="0723670E" wp14:anchorId="1A353AF4">
                      <wp:simplePos x="0" y="0"/>
                      <wp:positionH relativeFrom="column">
                        <wp:posOffset>1849120</wp:posOffset>
                      </wp:positionH>
                      <wp:positionV relativeFrom="paragraph">
                        <wp:posOffset>12065</wp:posOffset>
                      </wp:positionV>
                      <wp:extent cx="403225" cy="3086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225" cy="308610"/>
                              </a:xfrm>
                              <a:prstGeom prst="rect">
                                <a:avLst/>
                              </a:prstGeom>
                              <a:noFill/>
                              <a:ln w="9525">
                                <a:noFill/>
                                <a:miter lim="800000"/>
                                <a:headEnd/>
                                <a:tailEnd/>
                              </a:ln>
                            </wps:spPr>
                            <wps:txbx>
                              <w:txbxContent>
                                <w:p w:rsidRPr="006D1867" w:rsidR="006A3EEC" w:rsidP="006D1867" w:rsidRDefault="006A3EEC">
                                  <w:pPr>
                                    <w:jc w:val="right"/>
                                    <w:rPr>
                                      <w:sz w:val="22"/>
                                    </w:rPr>
                                  </w:pPr>
                                  <w:r w:rsidRPr="006D1867">
                                    <w:rPr>
                                      <w:sz w:val="22"/>
                                    </w:rPr>
                                    <w: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145.6pt;margin-top:.95pt;width:31.75pt;height:2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">
                      <v:textbox>
                        <w:txbxContent>
                          <w:p w:rsidRPr="006D1867" w:rsidR="006A3EEC" w:rsidP="006D1867" w:rsidRDefault="006A3EEC">
                            <w:pPr>
                              <w:jc w:val="right"/>
                              <w:rPr>
                                <w:sz w:val="22"/>
                              </w:rPr>
                            </w:pPr>
                            <w:r w:rsidRPr="006D1867">
                              <w:rPr>
                                <w:sz w:val="22"/>
                              </w:rPr>
                              <w:t>Or</w:t>
                            </w:r>
                          </w:p>
                        </w:txbxContent>
                      </v:textbox>
                    </v:shape>
                  </w:pict>
                </mc:Fallback>
              </mc:AlternateContent>
            </w:r>
            <w:r w:rsidRPr="006D1867">
              <w:rPr>
                <w:rFonts w:ascii="Arial" w:hAnsi="Arial" w:cs="Arial"/>
                <w:color w:val="000000"/>
                <w:sz w:val="26"/>
                <w:szCs w:val="26"/>
              </w:rPr>
              <w:t>Deprivation: Ever 6 FSM</w:t>
            </w:r>
          </w:p>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Current FSM</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1,921</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785</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Merge/>
            <w:vAlign w:val="bottom"/>
          </w:tcPr>
          <w:p w:rsidRPr="006D1867" w:rsidR="006D1867" w:rsidP="006D1867" w:rsidRDefault="006D1867">
            <w:pPr>
              <w:ind w:firstLine="260" w:firstLineChars="100"/>
              <w:rPr>
                <w:rFonts w:ascii="Arial" w:hAnsi="Arial" w:cs="Arial"/>
                <w:color w:val="000000"/>
                <w:sz w:val="26"/>
                <w:szCs w:val="26"/>
              </w:rPr>
            </w:pP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1,225</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A</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810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B</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600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C</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515</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D</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515</w:t>
            </w:r>
          </w:p>
        </w:tc>
      </w:tr>
      <w:tr w:rsidRPr="006D1867" w:rsidR="006D1867" w:rsidTr="006D1867">
        <w:trPr>
          <w:trHeight w:val="64"/>
        </w:trPr>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E</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390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Deprivation: IDACI F</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290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Prior attainment</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1,115</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1,550</w:t>
            </w:r>
          </w:p>
        </w:tc>
      </w:tr>
      <w:tr w:rsidRPr="006D1867" w:rsidR="006D1867" w:rsidTr="006D1867">
        <w:tc>
          <w:tcPr>
            <w:tcW w:w="3545" w:type="dxa"/>
            <w:vMerge/>
            <w:vAlign w:val="center"/>
          </w:tcPr>
          <w:p w:rsidRPr="006D1867" w:rsidR="006D1867" w:rsidP="006D1867" w:rsidRDefault="006D1867">
            <w:pPr>
              <w:ind w:firstLine="260" w:firstLineChars="100"/>
              <w:jc w:val="center"/>
              <w:rPr>
                <w:rFonts w:ascii="Arial" w:hAnsi="Arial" w:cs="Arial"/>
                <w:color w:val="000000"/>
                <w:sz w:val="26"/>
                <w:szCs w:val="26"/>
              </w:rPr>
            </w:pPr>
          </w:p>
        </w:tc>
        <w:tc>
          <w:tcPr>
            <w:tcW w:w="3590" w:type="dxa"/>
            <w:vAlign w:val="bottom"/>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EAL</w:t>
            </w:r>
          </w:p>
        </w:tc>
        <w:tc>
          <w:tcPr>
            <w:tcW w:w="1647"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322</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1,385</w:t>
            </w:r>
          </w:p>
        </w:tc>
      </w:tr>
      <w:tr w:rsidRPr="006D1867" w:rsidR="006D1867" w:rsidTr="006D1867">
        <w:tc>
          <w:tcPr>
            <w:tcW w:w="3545" w:type="dxa"/>
            <w:vMerge w:val="restart"/>
            <w:vAlign w:val="center"/>
          </w:tcPr>
          <w:p w:rsidRPr="006D1867" w:rsidR="006D1867" w:rsidP="006D1867" w:rsidRDefault="006D1867">
            <w:pPr>
              <w:ind w:firstLine="260" w:firstLineChars="100"/>
              <w:jc w:val="center"/>
              <w:rPr>
                <w:rFonts w:ascii="Arial" w:hAnsi="Arial" w:cs="Arial"/>
                <w:color w:val="000000"/>
                <w:sz w:val="26"/>
                <w:szCs w:val="26"/>
              </w:rPr>
            </w:pPr>
            <w:r w:rsidRPr="006D1867">
              <w:rPr>
                <w:rFonts w:ascii="Arial" w:hAnsi="Arial" w:cs="Arial"/>
                <w:color w:val="000000"/>
                <w:sz w:val="26"/>
                <w:szCs w:val="26"/>
              </w:rPr>
              <w:t>School-led funding</w:t>
            </w: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Lump sum</w:t>
            </w:r>
          </w:p>
        </w:tc>
        <w:tc>
          <w:tcPr>
            <w:tcW w:w="1647"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150,967</w:t>
            </w:r>
          </w:p>
        </w:tc>
        <w:tc>
          <w:tcPr>
            <w:tcW w:w="150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110,000</w:t>
            </w:r>
          </w:p>
        </w:tc>
      </w:tr>
      <w:tr w:rsidRPr="006D1867" w:rsidR="006D1867" w:rsidTr="006D1867">
        <w:tc>
          <w:tcPr>
            <w:tcW w:w="3545" w:type="dxa"/>
            <w:vMerge/>
          </w:tcPr>
          <w:p w:rsidRPr="006D1867" w:rsidR="006D1867" w:rsidP="006D1867" w:rsidRDefault="006D1867">
            <w:pPr>
              <w:ind w:firstLine="260" w:firstLineChars="100"/>
              <w:rPr>
                <w:rFonts w:ascii="Arial" w:hAnsi="Arial" w:cs="Arial"/>
                <w:color w:val="000000"/>
                <w:sz w:val="26"/>
                <w:szCs w:val="26"/>
              </w:rPr>
            </w:pPr>
          </w:p>
        </w:tc>
        <w:tc>
          <w:tcPr>
            <w:tcW w:w="3590" w:type="dxa"/>
            <w:vAlign w:val="center"/>
          </w:tcPr>
          <w:p w:rsidRPr="006D1867" w:rsidR="006D1867" w:rsidP="006D1867" w:rsidRDefault="006D1867">
            <w:pPr>
              <w:ind w:firstLine="260" w:firstLineChars="100"/>
              <w:rPr>
                <w:rFonts w:ascii="Arial" w:hAnsi="Arial" w:cs="Arial"/>
                <w:color w:val="000000"/>
                <w:sz w:val="26"/>
                <w:szCs w:val="26"/>
              </w:rPr>
            </w:pPr>
            <w:r w:rsidRPr="006D1867">
              <w:rPr>
                <w:rFonts w:ascii="Arial" w:hAnsi="Arial" w:cs="Arial"/>
                <w:color w:val="000000"/>
                <w:sz w:val="26"/>
                <w:szCs w:val="26"/>
              </w:rPr>
              <w:t>Sparsity</w:t>
            </w:r>
          </w:p>
        </w:tc>
        <w:tc>
          <w:tcPr>
            <w:tcW w:w="1647" w:type="dxa"/>
            <w:vAlign w:val="center"/>
          </w:tcPr>
          <w:p w:rsidRPr="006D1867" w:rsidR="006D1867" w:rsidP="006D1867" w:rsidRDefault="006D1867">
            <w:pPr>
              <w:jc w:val="right"/>
              <w:rPr>
                <w:rFonts w:ascii="Arial" w:hAnsi="Arial" w:cs="Arial"/>
                <w:color w:val="000000"/>
                <w:sz w:val="26"/>
                <w:szCs w:val="26"/>
              </w:rPr>
            </w:pPr>
            <w:r w:rsidRPr="006D1867">
              <w:rPr>
                <w:rFonts w:ascii="Arial" w:hAnsi="Arial" w:cs="Arial"/>
                <w:color w:val="000000"/>
                <w:sz w:val="26"/>
                <w:szCs w:val="26"/>
              </w:rPr>
              <w:t>-</w:t>
            </w:r>
          </w:p>
        </w:tc>
        <w:tc>
          <w:tcPr>
            <w:tcW w:w="150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Up to 65,000</w:t>
            </w:r>
          </w:p>
        </w:tc>
      </w:tr>
    </w:tbl>
    <w:p w:rsidRPr="00425079" w:rsidR="006D1867" w:rsidP="006D1867" w:rsidRDefault="006D1867">
      <w:pPr>
        <w:rPr>
          <w:rFonts w:cs="Arial"/>
          <w:sz w:val="16"/>
          <w:szCs w:val="26"/>
        </w:rPr>
      </w:pPr>
    </w:p>
    <w:p w:rsidRPr="006D1867" w:rsidR="006D1867" w:rsidP="006D1867" w:rsidRDefault="006D1867">
      <w:pPr>
        <w:spacing w:after="120"/>
        <w:rPr>
          <w:rFonts w:cs="Arial"/>
          <w:sz w:val="26"/>
          <w:szCs w:val="26"/>
        </w:rPr>
      </w:pPr>
      <w:r w:rsidRPr="006D1867">
        <w:rPr>
          <w:rFonts w:cs="Arial"/>
          <w:sz w:val="26"/>
          <w:szCs w:val="26"/>
        </w:rPr>
        <w:t>* N.B. excludes £94.29 per pupil funded by £3.5m from DSG cash reserves</w:t>
      </w:r>
    </w:p>
    <w:p w:rsidRPr="006D1867" w:rsidR="006D1867" w:rsidP="006D1867" w:rsidRDefault="006D1867">
      <w:pPr>
        <w:rPr>
          <w:rFonts w:cs="Arial"/>
          <w:b/>
          <w:sz w:val="26"/>
          <w:szCs w:val="26"/>
        </w:rPr>
      </w:pPr>
      <w:r w:rsidRPr="006D1867">
        <w:rPr>
          <w:rFonts w:cs="Arial"/>
          <w:b/>
          <w:sz w:val="26"/>
          <w:szCs w:val="26"/>
        </w:rPr>
        <w:t>2.2</w:t>
      </w:r>
      <w:r w:rsidRPr="006D1867">
        <w:rPr>
          <w:rFonts w:cs="Arial"/>
          <w:b/>
          <w:sz w:val="26"/>
          <w:szCs w:val="26"/>
        </w:rPr>
        <w:tab/>
      </w:r>
      <w:r w:rsidRPr="006D1867">
        <w:rPr>
          <w:rFonts w:cs="Arial"/>
          <w:b/>
          <w:sz w:val="26"/>
          <w:szCs w:val="26"/>
          <w:u w:val="single"/>
        </w:rPr>
        <w:t xml:space="preserve">More detail about the </w:t>
      </w:r>
      <w:r w:rsidR="007E168A">
        <w:rPr>
          <w:rFonts w:cs="Arial"/>
          <w:b/>
          <w:sz w:val="26"/>
          <w:szCs w:val="26"/>
          <w:u w:val="single"/>
        </w:rPr>
        <w:t xml:space="preserve">proposed </w:t>
      </w:r>
      <w:r w:rsidRPr="006D1867">
        <w:rPr>
          <w:rFonts w:cs="Arial"/>
          <w:b/>
          <w:sz w:val="26"/>
          <w:szCs w:val="26"/>
          <w:u w:val="single"/>
        </w:rPr>
        <w:t>formula</w:t>
      </w:r>
    </w:p>
    <w:p w:rsidR="006D1867" w:rsidP="006D1867" w:rsidRDefault="006D1867">
      <w:pPr>
        <w:rPr>
          <w:rFonts w:cs="Arial"/>
          <w:sz w:val="26"/>
          <w:szCs w:val="26"/>
        </w:rPr>
      </w:pPr>
    </w:p>
    <w:p w:rsidR="009338F1" w:rsidP="00AB0F98" w:rsidRDefault="009338F1">
      <w:pPr>
        <w:rPr>
          <w:rFonts w:cs="Arial"/>
          <w:sz w:val="26"/>
          <w:szCs w:val="26"/>
        </w:rPr>
      </w:pPr>
      <w:r>
        <w:rPr>
          <w:rFonts w:cs="Arial"/>
          <w:sz w:val="26"/>
          <w:szCs w:val="26"/>
        </w:rPr>
        <w:t>In summary the NFF (1.20)</w:t>
      </w:r>
      <w:r w:rsidR="00A8633F">
        <w:rPr>
          <w:rFonts w:cs="Arial"/>
          <w:sz w:val="26"/>
          <w:szCs w:val="26"/>
        </w:rPr>
        <w:t>:</w:t>
      </w:r>
    </w:p>
    <w:p w:rsidRPr="00425079" w:rsidR="009338F1" w:rsidP="00AB0F98" w:rsidRDefault="009338F1">
      <w:pPr>
        <w:rPr>
          <w:rFonts w:cs="Arial"/>
          <w:sz w:val="16"/>
          <w:szCs w:val="26"/>
        </w:rPr>
      </w:pPr>
    </w:p>
    <w:p w:rsidR="009338F1" w:rsidP="009338F1" w:rsidRDefault="009338F1">
      <w:pPr>
        <w:pStyle w:val="ListParagraph"/>
        <w:numPr>
          <w:ilvl w:val="0"/>
          <w:numId w:val="47"/>
        </w:numPr>
        <w:ind w:left="284"/>
        <w:rPr>
          <w:rFonts w:cs="Arial"/>
          <w:sz w:val="26"/>
          <w:szCs w:val="26"/>
        </w:rPr>
      </w:pPr>
      <w:r w:rsidRPr="009338F1">
        <w:rPr>
          <w:rFonts w:cs="Arial"/>
          <w:sz w:val="26"/>
          <w:szCs w:val="26"/>
        </w:rPr>
        <w:t>R</w:t>
      </w:r>
      <w:r w:rsidRPr="009338F1" w:rsidR="00AB0F98">
        <w:rPr>
          <w:rFonts w:cs="Arial"/>
          <w:sz w:val="26"/>
          <w:szCs w:val="26"/>
        </w:rPr>
        <w:t xml:space="preserve">eflects the current relative distribution of funding between the two sectors, which is a </w:t>
      </w:r>
      <w:r w:rsidRPr="009338F1">
        <w:rPr>
          <w:rFonts w:cs="Arial"/>
          <w:sz w:val="26"/>
          <w:szCs w:val="26"/>
        </w:rPr>
        <w:t>primary: secondary</w:t>
      </w:r>
      <w:r w:rsidRPr="009338F1" w:rsidR="00AB0F98">
        <w:rPr>
          <w:rFonts w:cs="Arial"/>
          <w:sz w:val="26"/>
          <w:szCs w:val="26"/>
        </w:rPr>
        <w:t xml:space="preserve"> ratio of 1:1.29</w:t>
      </w:r>
      <w:r w:rsidR="00A8633F">
        <w:rPr>
          <w:rFonts w:cs="Arial"/>
          <w:sz w:val="26"/>
          <w:szCs w:val="26"/>
        </w:rPr>
        <w:t xml:space="preserve"> (</w:t>
      </w:r>
      <w:r w:rsidRPr="009338F1" w:rsidR="00847CEB">
        <w:rPr>
          <w:rFonts w:cs="Arial"/>
          <w:sz w:val="26"/>
          <w:szCs w:val="26"/>
        </w:rPr>
        <w:t xml:space="preserve">Derbyshire’s ratio is 1:1.33 </w:t>
      </w:r>
      <w:r w:rsidRPr="009338F1" w:rsidR="00AB0F98">
        <w:rPr>
          <w:rFonts w:cs="Arial"/>
          <w:sz w:val="26"/>
          <w:szCs w:val="26"/>
        </w:rPr>
        <w:t xml:space="preserve">which partially explains why our secondary </w:t>
      </w:r>
      <w:r w:rsidRPr="009338F1">
        <w:rPr>
          <w:rFonts w:cs="Arial"/>
          <w:sz w:val="26"/>
          <w:szCs w:val="26"/>
        </w:rPr>
        <w:t xml:space="preserve">sector </w:t>
      </w:r>
      <w:r w:rsidRPr="009338F1" w:rsidR="00AB0F98">
        <w:rPr>
          <w:rFonts w:cs="Arial"/>
          <w:sz w:val="26"/>
          <w:szCs w:val="26"/>
        </w:rPr>
        <w:t>fare</w:t>
      </w:r>
      <w:r w:rsidRPr="009338F1">
        <w:rPr>
          <w:rFonts w:cs="Arial"/>
          <w:sz w:val="26"/>
          <w:szCs w:val="26"/>
        </w:rPr>
        <w:t>s</w:t>
      </w:r>
      <w:r w:rsidRPr="009338F1" w:rsidR="00AB0F98">
        <w:rPr>
          <w:rFonts w:cs="Arial"/>
          <w:sz w:val="26"/>
          <w:szCs w:val="26"/>
        </w:rPr>
        <w:t xml:space="preserve"> less well</w:t>
      </w:r>
      <w:r w:rsidR="00A8633F">
        <w:rPr>
          <w:rFonts w:cs="Arial"/>
          <w:sz w:val="26"/>
          <w:szCs w:val="26"/>
        </w:rPr>
        <w:t>)</w:t>
      </w:r>
      <w:r>
        <w:rPr>
          <w:rFonts w:cs="Arial"/>
          <w:sz w:val="26"/>
          <w:szCs w:val="26"/>
        </w:rPr>
        <w:t>;</w:t>
      </w:r>
    </w:p>
    <w:p w:rsidRPr="009338F1" w:rsidR="009338F1" w:rsidP="009338F1" w:rsidRDefault="009338F1">
      <w:pPr>
        <w:pStyle w:val="ListParagraph"/>
        <w:ind w:left="284"/>
        <w:rPr>
          <w:rFonts w:cs="Arial"/>
          <w:sz w:val="16"/>
          <w:szCs w:val="26"/>
        </w:rPr>
      </w:pPr>
    </w:p>
    <w:p w:rsidR="009338F1" w:rsidP="009338F1" w:rsidRDefault="009338F1">
      <w:pPr>
        <w:pStyle w:val="ListParagraph"/>
        <w:numPr>
          <w:ilvl w:val="0"/>
          <w:numId w:val="47"/>
        </w:numPr>
        <w:ind w:left="284"/>
        <w:rPr>
          <w:rFonts w:cs="Arial"/>
          <w:sz w:val="26"/>
          <w:szCs w:val="26"/>
        </w:rPr>
      </w:pPr>
      <w:r>
        <w:rPr>
          <w:rFonts w:cs="Arial"/>
          <w:sz w:val="26"/>
          <w:szCs w:val="26"/>
        </w:rPr>
        <w:t>Maximises the proportion of funding allocated to pupil –led factors;</w:t>
      </w:r>
    </w:p>
    <w:p w:rsidRPr="00A12E9B" w:rsidR="00A12E9B" w:rsidP="00A12E9B" w:rsidRDefault="00A12E9B">
      <w:pPr>
        <w:rPr>
          <w:rFonts w:cs="Arial"/>
          <w:sz w:val="26"/>
          <w:szCs w:val="26"/>
        </w:rPr>
      </w:pPr>
    </w:p>
    <w:p w:rsidR="00847CEB" w:rsidP="009338F1" w:rsidRDefault="009338F1">
      <w:pPr>
        <w:pStyle w:val="ListParagraph"/>
        <w:numPr>
          <w:ilvl w:val="0"/>
          <w:numId w:val="47"/>
        </w:numPr>
        <w:ind w:left="284"/>
        <w:rPr>
          <w:rFonts w:cs="Arial"/>
          <w:sz w:val="26"/>
          <w:szCs w:val="26"/>
        </w:rPr>
      </w:pPr>
      <w:r>
        <w:rPr>
          <w:rFonts w:cs="Arial"/>
          <w:sz w:val="26"/>
          <w:szCs w:val="26"/>
        </w:rPr>
        <w:lastRenderedPageBreak/>
        <w:t xml:space="preserve">Increases the basic rate </w:t>
      </w:r>
      <w:r w:rsidR="007E168A">
        <w:rPr>
          <w:rFonts w:cs="Arial"/>
          <w:sz w:val="26"/>
          <w:szCs w:val="26"/>
        </w:rPr>
        <w:t xml:space="preserve">funding </w:t>
      </w:r>
      <w:r>
        <w:rPr>
          <w:rFonts w:cs="Arial"/>
          <w:sz w:val="26"/>
          <w:szCs w:val="26"/>
        </w:rPr>
        <w:t>as pupils progress through the key stages;</w:t>
      </w:r>
      <w:r w:rsidRPr="009338F1">
        <w:rPr>
          <w:rFonts w:cs="Arial"/>
          <w:sz w:val="26"/>
          <w:szCs w:val="26"/>
        </w:rPr>
        <w:t xml:space="preserve"> </w:t>
      </w:r>
    </w:p>
    <w:p w:rsidRPr="009338F1" w:rsidR="009338F1" w:rsidP="009338F1" w:rsidRDefault="009338F1">
      <w:pPr>
        <w:pStyle w:val="ListParagraph"/>
        <w:ind w:left="284"/>
        <w:rPr>
          <w:rFonts w:cs="Arial"/>
          <w:sz w:val="16"/>
          <w:szCs w:val="26"/>
        </w:rPr>
      </w:pPr>
    </w:p>
    <w:p w:rsidR="009338F1" w:rsidP="009338F1" w:rsidRDefault="009338F1">
      <w:pPr>
        <w:pStyle w:val="ListParagraph"/>
        <w:numPr>
          <w:ilvl w:val="0"/>
          <w:numId w:val="47"/>
        </w:numPr>
        <w:ind w:left="284"/>
        <w:rPr>
          <w:rFonts w:cs="Arial"/>
          <w:sz w:val="26"/>
          <w:szCs w:val="26"/>
        </w:rPr>
      </w:pPr>
      <w:r>
        <w:rPr>
          <w:rFonts w:cs="Arial"/>
          <w:sz w:val="26"/>
          <w:szCs w:val="26"/>
        </w:rPr>
        <w:t>Increases the total spend on additional educational needs factors (socio-economic deprivation, low attainment, English as an additional language and mobility</w:t>
      </w:r>
      <w:r w:rsidR="007E168A">
        <w:rPr>
          <w:rFonts w:cs="Arial"/>
          <w:sz w:val="26"/>
          <w:szCs w:val="26"/>
        </w:rPr>
        <w:t>)</w:t>
      </w:r>
      <w:r>
        <w:rPr>
          <w:rFonts w:cs="Arial"/>
          <w:sz w:val="26"/>
          <w:szCs w:val="26"/>
        </w:rPr>
        <w:t>;</w:t>
      </w:r>
    </w:p>
    <w:p w:rsidRPr="00A8633F" w:rsidR="009338F1" w:rsidP="009338F1" w:rsidRDefault="009338F1">
      <w:pPr>
        <w:pStyle w:val="ListParagraph"/>
        <w:ind w:left="284"/>
        <w:rPr>
          <w:rFonts w:cs="Arial"/>
          <w:sz w:val="16"/>
          <w:szCs w:val="26"/>
        </w:rPr>
      </w:pPr>
    </w:p>
    <w:p w:rsidR="009338F1" w:rsidP="009338F1" w:rsidRDefault="009338F1">
      <w:pPr>
        <w:pStyle w:val="ListParagraph"/>
        <w:numPr>
          <w:ilvl w:val="0"/>
          <w:numId w:val="47"/>
        </w:numPr>
        <w:ind w:left="284"/>
        <w:rPr>
          <w:rFonts w:cs="Arial"/>
          <w:sz w:val="26"/>
          <w:szCs w:val="26"/>
        </w:rPr>
      </w:pPr>
      <w:r>
        <w:rPr>
          <w:rFonts w:cs="Arial"/>
          <w:sz w:val="26"/>
          <w:szCs w:val="26"/>
        </w:rPr>
        <w:t>Continues to have a substantial deprivation factor, in addition to the pupil premium including greater weighting towards areas with high concentrations of “just about managing” families who do not typically qualify for FSM deprivation by using an area-level deprivation factor (Income Deprivation Affecting Children Index, IDACI)</w:t>
      </w:r>
      <w:r w:rsidR="00425079">
        <w:rPr>
          <w:rFonts w:cs="Arial"/>
          <w:sz w:val="26"/>
          <w:szCs w:val="26"/>
        </w:rPr>
        <w:t xml:space="preserve">. </w:t>
      </w:r>
      <w:r w:rsidRPr="004D2DD2" w:rsidR="00425079">
        <w:rPr>
          <w:rFonts w:cs="Arial"/>
          <w:sz w:val="26"/>
          <w:szCs w:val="26"/>
        </w:rPr>
        <w:t xml:space="preserve">N.B. IDACI uses pupils’ post codes to establish their level of deprivation based on the proportion of households in each super output area on low income. The level of deprivation attributed to a pupil through this process may not necessarily reflect the level of deprivation in the pupil’s </w:t>
      </w:r>
      <w:r w:rsidRPr="004D2DD2" w:rsidR="005B432E">
        <w:rPr>
          <w:rFonts w:cs="Arial"/>
          <w:sz w:val="26"/>
          <w:szCs w:val="26"/>
        </w:rPr>
        <w:t xml:space="preserve">own </w:t>
      </w:r>
      <w:r w:rsidRPr="004D2DD2" w:rsidR="00425079">
        <w:rPr>
          <w:rFonts w:cs="Arial"/>
          <w:sz w:val="26"/>
          <w:szCs w:val="26"/>
        </w:rPr>
        <w:t>household</w:t>
      </w:r>
      <w:r w:rsidRPr="004D2DD2">
        <w:rPr>
          <w:rFonts w:cs="Arial"/>
          <w:sz w:val="26"/>
          <w:szCs w:val="26"/>
        </w:rPr>
        <w:t>;</w:t>
      </w:r>
    </w:p>
    <w:p w:rsidRPr="00A8633F" w:rsidR="009338F1" w:rsidP="009338F1" w:rsidRDefault="009338F1">
      <w:pPr>
        <w:pStyle w:val="ListParagraph"/>
        <w:ind w:left="284"/>
        <w:rPr>
          <w:rFonts w:cs="Arial"/>
          <w:sz w:val="16"/>
          <w:szCs w:val="26"/>
        </w:rPr>
      </w:pPr>
    </w:p>
    <w:p w:rsidR="009338F1" w:rsidP="009338F1" w:rsidRDefault="009338F1">
      <w:pPr>
        <w:pStyle w:val="ListParagraph"/>
        <w:numPr>
          <w:ilvl w:val="0"/>
          <w:numId w:val="47"/>
        </w:numPr>
        <w:ind w:left="284"/>
        <w:rPr>
          <w:rFonts w:cs="Arial"/>
          <w:sz w:val="26"/>
          <w:szCs w:val="26"/>
        </w:rPr>
      </w:pPr>
      <w:r>
        <w:rPr>
          <w:rFonts w:cs="Arial"/>
          <w:sz w:val="26"/>
          <w:szCs w:val="26"/>
        </w:rPr>
        <w:t>Increas</w:t>
      </w:r>
      <w:r w:rsidR="00A8633F">
        <w:rPr>
          <w:rFonts w:cs="Arial"/>
          <w:sz w:val="26"/>
          <w:szCs w:val="26"/>
        </w:rPr>
        <w:t xml:space="preserve">es </w:t>
      </w:r>
      <w:r>
        <w:rPr>
          <w:rFonts w:cs="Arial"/>
          <w:sz w:val="26"/>
          <w:szCs w:val="26"/>
        </w:rPr>
        <w:t>substantially the low prior attainment factor as attainment data is one of the strongest indicators of how children are likely to do later</w:t>
      </w:r>
      <w:r w:rsidR="00782507">
        <w:rPr>
          <w:rFonts w:cs="Arial"/>
          <w:sz w:val="26"/>
          <w:szCs w:val="26"/>
        </w:rPr>
        <w:t>;</w:t>
      </w:r>
    </w:p>
    <w:p w:rsidRPr="00A8633F" w:rsidR="009338F1" w:rsidP="00A8633F" w:rsidRDefault="009338F1">
      <w:pPr>
        <w:rPr>
          <w:rFonts w:cs="Arial"/>
          <w:sz w:val="16"/>
          <w:szCs w:val="26"/>
        </w:rPr>
      </w:pPr>
    </w:p>
    <w:p w:rsidR="009338F1" w:rsidP="009338F1" w:rsidRDefault="009338F1">
      <w:pPr>
        <w:pStyle w:val="ListParagraph"/>
        <w:numPr>
          <w:ilvl w:val="0"/>
          <w:numId w:val="47"/>
        </w:numPr>
        <w:ind w:left="284"/>
        <w:rPr>
          <w:rFonts w:cs="Arial"/>
          <w:sz w:val="26"/>
          <w:szCs w:val="26"/>
        </w:rPr>
      </w:pPr>
      <w:r>
        <w:rPr>
          <w:rFonts w:cs="Arial"/>
          <w:sz w:val="26"/>
          <w:szCs w:val="26"/>
        </w:rPr>
        <w:t>Continue</w:t>
      </w:r>
      <w:r w:rsidR="00A8633F">
        <w:rPr>
          <w:rFonts w:cs="Arial"/>
          <w:sz w:val="26"/>
          <w:szCs w:val="26"/>
        </w:rPr>
        <w:t xml:space="preserve">s </w:t>
      </w:r>
      <w:r>
        <w:rPr>
          <w:rFonts w:cs="Arial"/>
          <w:sz w:val="26"/>
          <w:szCs w:val="26"/>
        </w:rPr>
        <w:t>to have an English as an additional language factor</w:t>
      </w:r>
      <w:r w:rsidR="007E168A">
        <w:rPr>
          <w:rFonts w:cs="Arial"/>
          <w:sz w:val="26"/>
          <w:szCs w:val="26"/>
        </w:rPr>
        <w:t xml:space="preserve">, the NFF </w:t>
      </w:r>
      <w:r w:rsidR="00425079">
        <w:rPr>
          <w:rFonts w:cs="Arial"/>
          <w:sz w:val="26"/>
          <w:szCs w:val="26"/>
        </w:rPr>
        <w:t xml:space="preserve">will </w:t>
      </w:r>
      <w:r w:rsidR="007E168A">
        <w:rPr>
          <w:rFonts w:cs="Arial"/>
          <w:sz w:val="26"/>
          <w:szCs w:val="26"/>
        </w:rPr>
        <w:t xml:space="preserve">use </w:t>
      </w:r>
      <w:r w:rsidR="00425079">
        <w:rPr>
          <w:rFonts w:cs="Arial"/>
          <w:sz w:val="26"/>
          <w:szCs w:val="26"/>
        </w:rPr>
        <w:t>the number of pupils who have entered the state education system in the last three years (known as EAL3, Derbyshire uses EAL1)</w:t>
      </w:r>
      <w:r w:rsidR="00782507">
        <w:rPr>
          <w:rFonts w:cs="Arial"/>
          <w:sz w:val="26"/>
          <w:szCs w:val="26"/>
        </w:rPr>
        <w:t>;</w:t>
      </w:r>
    </w:p>
    <w:p w:rsidRPr="00A8633F" w:rsidR="009338F1" w:rsidP="00A8633F" w:rsidRDefault="009338F1">
      <w:pPr>
        <w:rPr>
          <w:rFonts w:cs="Arial"/>
          <w:sz w:val="16"/>
          <w:szCs w:val="26"/>
        </w:rPr>
      </w:pPr>
    </w:p>
    <w:p w:rsidR="009338F1" w:rsidP="009338F1" w:rsidRDefault="00A8633F">
      <w:pPr>
        <w:pStyle w:val="ListParagraph"/>
        <w:numPr>
          <w:ilvl w:val="0"/>
          <w:numId w:val="47"/>
        </w:numPr>
        <w:ind w:left="284"/>
        <w:rPr>
          <w:rFonts w:cs="Arial"/>
          <w:sz w:val="26"/>
          <w:szCs w:val="26"/>
        </w:rPr>
      </w:pPr>
      <w:r>
        <w:rPr>
          <w:rFonts w:cs="Arial"/>
          <w:sz w:val="26"/>
          <w:szCs w:val="26"/>
        </w:rPr>
        <w:t xml:space="preserve">Protects local authorities’ </w:t>
      </w:r>
      <w:r w:rsidR="007E168A">
        <w:rPr>
          <w:rFonts w:cs="Arial"/>
          <w:sz w:val="26"/>
          <w:szCs w:val="26"/>
        </w:rPr>
        <w:t xml:space="preserve">historic </w:t>
      </w:r>
      <w:r>
        <w:rPr>
          <w:rFonts w:cs="Arial"/>
          <w:sz w:val="26"/>
          <w:szCs w:val="26"/>
        </w:rPr>
        <w:t>spend on mobility pending the development of a more sophisticated mobility indicator;</w:t>
      </w:r>
    </w:p>
    <w:p w:rsidRPr="00A8633F" w:rsidR="00A8633F" w:rsidP="00A8633F" w:rsidRDefault="00A8633F">
      <w:pPr>
        <w:rPr>
          <w:rFonts w:cs="Arial"/>
          <w:sz w:val="16"/>
          <w:szCs w:val="26"/>
        </w:rPr>
      </w:pPr>
    </w:p>
    <w:p w:rsidR="00A8633F" w:rsidP="009338F1" w:rsidRDefault="00A8633F">
      <w:pPr>
        <w:pStyle w:val="ListParagraph"/>
        <w:numPr>
          <w:ilvl w:val="0"/>
          <w:numId w:val="47"/>
        </w:numPr>
        <w:ind w:left="284"/>
        <w:rPr>
          <w:rFonts w:cs="Arial"/>
          <w:sz w:val="26"/>
          <w:szCs w:val="26"/>
        </w:rPr>
      </w:pPr>
      <w:r>
        <w:rPr>
          <w:rFonts w:cs="Arial"/>
          <w:sz w:val="26"/>
          <w:szCs w:val="26"/>
        </w:rPr>
        <w:t>Provides every school with a lump sum allowance but at a lower level than the national average in order that more funding is directed via pupil-led factors;</w:t>
      </w:r>
    </w:p>
    <w:p w:rsidRPr="00A8633F" w:rsidR="00A8633F" w:rsidP="00A8633F" w:rsidRDefault="00A8633F">
      <w:pPr>
        <w:rPr>
          <w:rFonts w:cs="Arial"/>
          <w:sz w:val="16"/>
          <w:szCs w:val="26"/>
        </w:rPr>
      </w:pPr>
    </w:p>
    <w:p w:rsidR="00A8633F" w:rsidP="009338F1" w:rsidRDefault="00A8633F">
      <w:pPr>
        <w:pStyle w:val="ListParagraph"/>
        <w:numPr>
          <w:ilvl w:val="0"/>
          <w:numId w:val="47"/>
        </w:numPr>
        <w:ind w:left="284"/>
        <w:rPr>
          <w:rFonts w:cs="Arial"/>
          <w:sz w:val="26"/>
          <w:szCs w:val="26"/>
        </w:rPr>
      </w:pPr>
      <w:r>
        <w:rPr>
          <w:rFonts w:cs="Arial"/>
          <w:sz w:val="26"/>
          <w:szCs w:val="26"/>
        </w:rPr>
        <w:t xml:space="preserve">Provides small and remote schools with additional funding via a </w:t>
      </w:r>
      <w:r w:rsidR="005B432E">
        <w:rPr>
          <w:rFonts w:cs="Arial"/>
          <w:sz w:val="26"/>
          <w:szCs w:val="26"/>
        </w:rPr>
        <w:t xml:space="preserve">tapered </w:t>
      </w:r>
      <w:r>
        <w:rPr>
          <w:rFonts w:cs="Arial"/>
          <w:sz w:val="26"/>
          <w:szCs w:val="26"/>
        </w:rPr>
        <w:t>sparsity factor to recognise that they can face greater challenges in finding efficiencies and partnering with other schools;</w:t>
      </w:r>
    </w:p>
    <w:p w:rsidRPr="00A8633F" w:rsidR="00A8633F" w:rsidP="00A8633F" w:rsidRDefault="00A8633F">
      <w:pPr>
        <w:rPr>
          <w:rFonts w:cs="Arial"/>
          <w:sz w:val="16"/>
          <w:szCs w:val="26"/>
        </w:rPr>
      </w:pPr>
    </w:p>
    <w:p w:rsidR="00A8633F" w:rsidP="009338F1" w:rsidRDefault="00A8633F">
      <w:pPr>
        <w:pStyle w:val="ListParagraph"/>
        <w:numPr>
          <w:ilvl w:val="0"/>
          <w:numId w:val="47"/>
        </w:numPr>
        <w:ind w:left="284"/>
        <w:rPr>
          <w:rFonts w:cs="Arial"/>
          <w:sz w:val="26"/>
          <w:szCs w:val="26"/>
        </w:rPr>
      </w:pPr>
      <w:r>
        <w:rPr>
          <w:rFonts w:cs="Arial"/>
          <w:sz w:val="26"/>
          <w:szCs w:val="26"/>
        </w:rPr>
        <w:t>Funds rates and premises factors (PFI, split site, exceptional circumstances) on the basis of historic spend</w:t>
      </w:r>
      <w:r w:rsidR="004D2DD2">
        <w:rPr>
          <w:rFonts w:cs="Arial"/>
          <w:sz w:val="26"/>
          <w:szCs w:val="26"/>
        </w:rPr>
        <w:t xml:space="preserve"> - </w:t>
      </w:r>
      <w:r>
        <w:rPr>
          <w:rFonts w:cs="Arial"/>
          <w:sz w:val="26"/>
          <w:szCs w:val="26"/>
        </w:rPr>
        <w:t>PFI allocations will be uprated for inflation;</w:t>
      </w:r>
    </w:p>
    <w:p w:rsidRPr="00A8633F" w:rsidR="00A8633F" w:rsidP="00A8633F" w:rsidRDefault="00A8633F">
      <w:pPr>
        <w:rPr>
          <w:rFonts w:cs="Arial"/>
          <w:sz w:val="16"/>
          <w:szCs w:val="26"/>
        </w:rPr>
      </w:pPr>
    </w:p>
    <w:p w:rsidR="00A8633F" w:rsidP="009338F1" w:rsidRDefault="00A8633F">
      <w:pPr>
        <w:pStyle w:val="ListParagraph"/>
        <w:numPr>
          <w:ilvl w:val="0"/>
          <w:numId w:val="47"/>
        </w:numPr>
        <w:ind w:left="284"/>
        <w:rPr>
          <w:rFonts w:cs="Arial"/>
          <w:sz w:val="26"/>
          <w:szCs w:val="26"/>
        </w:rPr>
      </w:pPr>
      <w:r>
        <w:rPr>
          <w:rFonts w:cs="Arial"/>
          <w:sz w:val="26"/>
          <w:szCs w:val="26"/>
        </w:rPr>
        <w:t>Funds growth on an historic basis for 2018-19 whilst seeking views from th</w:t>
      </w:r>
      <w:r w:rsidR="004D2DD2">
        <w:rPr>
          <w:rFonts w:cs="Arial"/>
          <w:sz w:val="26"/>
          <w:szCs w:val="26"/>
        </w:rPr>
        <w:t xml:space="preserve">e current </w:t>
      </w:r>
      <w:r>
        <w:rPr>
          <w:rFonts w:cs="Arial"/>
          <w:sz w:val="26"/>
          <w:szCs w:val="26"/>
        </w:rPr>
        <w:t xml:space="preserve">consultation on a proposed basis </w:t>
      </w:r>
      <w:r w:rsidR="007E168A">
        <w:rPr>
          <w:rFonts w:cs="Arial"/>
          <w:sz w:val="26"/>
          <w:szCs w:val="26"/>
        </w:rPr>
        <w:t xml:space="preserve">which would use </w:t>
      </w:r>
      <w:r>
        <w:rPr>
          <w:rFonts w:cs="Arial"/>
          <w:sz w:val="26"/>
          <w:szCs w:val="26"/>
        </w:rPr>
        <w:t xml:space="preserve">lagged growth data; </w:t>
      </w:r>
      <w:r w:rsidR="004D2DD2">
        <w:rPr>
          <w:rFonts w:cs="Arial"/>
          <w:sz w:val="26"/>
          <w:szCs w:val="26"/>
        </w:rPr>
        <w:t>&amp;</w:t>
      </w:r>
    </w:p>
    <w:p w:rsidRPr="00A8633F" w:rsidR="00A8633F" w:rsidP="00A8633F" w:rsidRDefault="00A8633F">
      <w:pPr>
        <w:rPr>
          <w:rFonts w:cs="Arial"/>
          <w:sz w:val="16"/>
          <w:szCs w:val="26"/>
        </w:rPr>
      </w:pPr>
    </w:p>
    <w:p w:rsidRPr="009338F1" w:rsidR="00A8633F" w:rsidP="009338F1" w:rsidRDefault="00A8633F">
      <w:pPr>
        <w:pStyle w:val="ListParagraph"/>
        <w:numPr>
          <w:ilvl w:val="0"/>
          <w:numId w:val="47"/>
        </w:numPr>
        <w:ind w:left="284"/>
        <w:rPr>
          <w:rFonts w:cs="Arial"/>
          <w:sz w:val="26"/>
          <w:szCs w:val="26"/>
        </w:rPr>
      </w:pPr>
      <w:r>
        <w:rPr>
          <w:rFonts w:cs="Arial"/>
          <w:sz w:val="26"/>
          <w:szCs w:val="26"/>
        </w:rPr>
        <w:t>Recognises the higher salary co</w:t>
      </w:r>
      <w:r w:rsidR="005B432E">
        <w:rPr>
          <w:rFonts w:cs="Arial"/>
          <w:sz w:val="26"/>
          <w:szCs w:val="26"/>
        </w:rPr>
        <w:t>s</w:t>
      </w:r>
      <w:r>
        <w:rPr>
          <w:rFonts w:cs="Arial"/>
          <w:sz w:val="26"/>
          <w:szCs w:val="26"/>
        </w:rPr>
        <w:t>ts faced by some schools in London via the area cost adjustment.</w:t>
      </w:r>
    </w:p>
    <w:p w:rsidR="00A8633F" w:rsidP="00AB0F98" w:rsidRDefault="00A8633F">
      <w:pPr>
        <w:rPr>
          <w:rFonts w:cs="Arial"/>
          <w:sz w:val="26"/>
          <w:szCs w:val="26"/>
        </w:rPr>
      </w:pPr>
    </w:p>
    <w:p w:rsidR="006A3EEC" w:rsidP="006A3EEC" w:rsidRDefault="006A3EEC">
      <w:pPr>
        <w:rPr>
          <w:rFonts w:cs="Arial"/>
          <w:sz w:val="26"/>
          <w:szCs w:val="26"/>
        </w:rPr>
      </w:pPr>
      <w:r>
        <w:rPr>
          <w:rFonts w:cs="Arial"/>
          <w:sz w:val="26"/>
          <w:szCs w:val="26"/>
        </w:rPr>
        <w:t xml:space="preserve">To provide stability the DfE have provided a funding floor so that no school will face a reduction of more than </w:t>
      </w:r>
      <w:r w:rsidR="005B432E">
        <w:rPr>
          <w:rFonts w:cs="Arial"/>
          <w:sz w:val="26"/>
          <w:szCs w:val="26"/>
        </w:rPr>
        <w:t>3</w:t>
      </w:r>
      <w:r>
        <w:rPr>
          <w:rFonts w:cs="Arial"/>
          <w:sz w:val="26"/>
          <w:szCs w:val="26"/>
        </w:rPr>
        <w:t xml:space="preserve">% per pupil as a result of the National Funding Formula. </w:t>
      </w:r>
    </w:p>
    <w:p w:rsidR="006A3EEC" w:rsidP="006A3EEC" w:rsidRDefault="006A3EEC">
      <w:pPr>
        <w:rPr>
          <w:rFonts w:cs="Arial"/>
          <w:sz w:val="26"/>
          <w:szCs w:val="26"/>
        </w:rPr>
      </w:pPr>
    </w:p>
    <w:p w:rsidRPr="006A3EEC" w:rsidR="00847CEB" w:rsidP="006A3EEC" w:rsidRDefault="006A3EEC">
      <w:pPr>
        <w:rPr>
          <w:rFonts w:cs="Arial"/>
          <w:sz w:val="26"/>
          <w:szCs w:val="26"/>
        </w:rPr>
      </w:pPr>
      <w:r>
        <w:rPr>
          <w:rFonts w:cs="Arial"/>
          <w:sz w:val="26"/>
          <w:szCs w:val="26"/>
        </w:rPr>
        <w:t xml:space="preserve">During the transitional period a </w:t>
      </w:r>
      <w:r w:rsidRPr="006D1867" w:rsidR="00847CEB">
        <w:rPr>
          <w:rFonts w:cs="Arial"/>
          <w:sz w:val="26"/>
          <w:szCs w:val="26"/>
        </w:rPr>
        <w:t xml:space="preserve">Minimum Funding Guarantee of </w:t>
      </w:r>
      <w:r>
        <w:rPr>
          <w:rFonts w:cs="Arial"/>
          <w:sz w:val="26"/>
          <w:szCs w:val="26"/>
        </w:rPr>
        <w:t xml:space="preserve">minus </w:t>
      </w:r>
      <w:r w:rsidRPr="006D1867" w:rsidR="00847CEB">
        <w:rPr>
          <w:rFonts w:cs="Arial"/>
          <w:sz w:val="26"/>
          <w:szCs w:val="26"/>
        </w:rPr>
        <w:t xml:space="preserve">1.5% per pupil </w:t>
      </w:r>
      <w:r>
        <w:rPr>
          <w:rFonts w:cs="Arial"/>
          <w:sz w:val="26"/>
          <w:szCs w:val="26"/>
        </w:rPr>
        <w:t xml:space="preserve">will </w:t>
      </w:r>
      <w:r w:rsidRPr="006D1867" w:rsidR="00847CEB">
        <w:rPr>
          <w:rFonts w:cs="Arial"/>
          <w:sz w:val="26"/>
          <w:szCs w:val="26"/>
        </w:rPr>
        <w:t>remain in place (1.20)</w:t>
      </w:r>
      <w:r>
        <w:rPr>
          <w:rFonts w:cs="Arial"/>
          <w:sz w:val="26"/>
          <w:szCs w:val="26"/>
        </w:rPr>
        <w:t>, however a</w:t>
      </w:r>
      <w:r w:rsidRPr="006A3EEC" w:rsidR="00847CEB">
        <w:rPr>
          <w:rFonts w:cs="Arial"/>
          <w:sz w:val="26"/>
          <w:szCs w:val="26"/>
        </w:rPr>
        <w:t xml:space="preserve"> cap on individual gains will </w:t>
      </w:r>
      <w:r>
        <w:rPr>
          <w:rFonts w:cs="Arial"/>
          <w:sz w:val="26"/>
          <w:szCs w:val="26"/>
        </w:rPr>
        <w:t xml:space="preserve">also </w:t>
      </w:r>
      <w:r w:rsidRPr="006A3EEC" w:rsidR="00847CEB">
        <w:rPr>
          <w:rFonts w:cs="Arial"/>
          <w:sz w:val="26"/>
          <w:szCs w:val="26"/>
        </w:rPr>
        <w:t>apply</w:t>
      </w:r>
      <w:r>
        <w:rPr>
          <w:rFonts w:cs="Arial"/>
          <w:sz w:val="26"/>
          <w:szCs w:val="26"/>
        </w:rPr>
        <w:t xml:space="preserve"> of </w:t>
      </w:r>
      <w:r w:rsidRPr="006A3EEC" w:rsidR="00847CEB">
        <w:rPr>
          <w:rFonts w:cs="Arial"/>
          <w:sz w:val="26"/>
          <w:szCs w:val="26"/>
        </w:rPr>
        <w:t>3% for 2018-19 and 2.5% for 2019-20 (1.20)</w:t>
      </w:r>
      <w:r w:rsidR="007E168A">
        <w:rPr>
          <w:rFonts w:cs="Arial"/>
          <w:sz w:val="26"/>
          <w:szCs w:val="26"/>
        </w:rPr>
        <w:t>.</w:t>
      </w:r>
    </w:p>
    <w:p w:rsidR="006A3EEC" w:rsidP="006A3EEC" w:rsidRDefault="006A3EEC">
      <w:pPr>
        <w:rPr>
          <w:rFonts w:cs="Arial"/>
          <w:sz w:val="26"/>
          <w:szCs w:val="26"/>
        </w:rPr>
      </w:pPr>
    </w:p>
    <w:p w:rsidR="00847CEB" w:rsidP="007B6B0C" w:rsidRDefault="00847CEB">
      <w:pPr>
        <w:rPr>
          <w:rFonts w:cs="Arial"/>
          <w:sz w:val="26"/>
          <w:szCs w:val="26"/>
        </w:rPr>
      </w:pPr>
      <w:r w:rsidRPr="007B6B0C">
        <w:rPr>
          <w:rFonts w:cs="Arial"/>
          <w:sz w:val="26"/>
          <w:szCs w:val="26"/>
        </w:rPr>
        <w:t xml:space="preserve">LAs </w:t>
      </w:r>
      <w:r w:rsidRPr="007B6B0C" w:rsidR="007B6B0C">
        <w:rPr>
          <w:rFonts w:cs="Arial"/>
          <w:sz w:val="26"/>
          <w:szCs w:val="26"/>
        </w:rPr>
        <w:t xml:space="preserve">are </w:t>
      </w:r>
      <w:r w:rsidRPr="007B6B0C">
        <w:rPr>
          <w:rFonts w:cs="Arial"/>
          <w:sz w:val="26"/>
          <w:szCs w:val="26"/>
        </w:rPr>
        <w:t>encourage</w:t>
      </w:r>
      <w:r w:rsidRPr="007B6B0C" w:rsidR="006A3EEC">
        <w:rPr>
          <w:rFonts w:cs="Arial"/>
          <w:sz w:val="26"/>
          <w:szCs w:val="26"/>
        </w:rPr>
        <w:t>d</w:t>
      </w:r>
      <w:r w:rsidRPr="007B6B0C">
        <w:rPr>
          <w:rFonts w:cs="Arial"/>
          <w:sz w:val="26"/>
          <w:szCs w:val="26"/>
        </w:rPr>
        <w:t xml:space="preserve"> to move towards the NFF in 2018-19</w:t>
      </w:r>
      <w:r w:rsidRPr="007B6B0C" w:rsidR="007B6B0C">
        <w:rPr>
          <w:rFonts w:cs="Arial"/>
          <w:sz w:val="26"/>
          <w:szCs w:val="26"/>
        </w:rPr>
        <w:t xml:space="preserve"> (2.6).</w:t>
      </w:r>
    </w:p>
    <w:p w:rsidR="003204D3" w:rsidP="007B6B0C" w:rsidRDefault="003204D3">
      <w:pPr>
        <w:rPr>
          <w:rFonts w:cs="Arial"/>
          <w:sz w:val="26"/>
          <w:szCs w:val="26"/>
        </w:rPr>
      </w:pPr>
    </w:p>
    <w:p w:rsidRPr="006D1867" w:rsidR="006D1867" w:rsidP="006D1867" w:rsidRDefault="006D1867">
      <w:pPr>
        <w:rPr>
          <w:rFonts w:cs="Arial"/>
          <w:b/>
          <w:sz w:val="26"/>
          <w:szCs w:val="26"/>
          <w:u w:val="single"/>
        </w:rPr>
      </w:pPr>
      <w:r w:rsidRPr="006D1867">
        <w:rPr>
          <w:rFonts w:cs="Arial"/>
          <w:b/>
          <w:sz w:val="26"/>
          <w:szCs w:val="26"/>
        </w:rPr>
        <w:t>2.3</w:t>
      </w:r>
      <w:r w:rsidRPr="006D1867">
        <w:rPr>
          <w:rFonts w:cs="Arial"/>
          <w:b/>
          <w:sz w:val="26"/>
          <w:szCs w:val="26"/>
        </w:rPr>
        <w:tab/>
      </w:r>
      <w:r w:rsidRPr="006D1867">
        <w:rPr>
          <w:rFonts w:cs="Arial"/>
          <w:b/>
          <w:sz w:val="26"/>
          <w:szCs w:val="26"/>
          <w:u w:val="single"/>
        </w:rPr>
        <w:t>Mainstream funding – potential impact in Derbyshire</w:t>
      </w:r>
    </w:p>
    <w:p w:rsidRPr="006D1867" w:rsidR="006D1867" w:rsidP="006D1867" w:rsidRDefault="006D1867">
      <w:pPr>
        <w:rPr>
          <w:rFonts w:cs="Arial"/>
          <w:sz w:val="26"/>
          <w:szCs w:val="26"/>
        </w:rPr>
      </w:pPr>
    </w:p>
    <w:p w:rsidRPr="006D1867" w:rsidR="006D1867" w:rsidP="006D1867" w:rsidRDefault="006D1867">
      <w:pPr>
        <w:rPr>
          <w:rFonts w:cs="Arial"/>
          <w:sz w:val="26"/>
          <w:szCs w:val="26"/>
        </w:rPr>
      </w:pPr>
      <w:r w:rsidRPr="006D1867">
        <w:rPr>
          <w:rFonts w:cs="Arial"/>
          <w:sz w:val="26"/>
          <w:szCs w:val="26"/>
        </w:rPr>
        <w:t>The DfE have published individual school figures showing the amount each school would have received this year under the NFF (post transition) compared with their 2016-17 budget.</w:t>
      </w:r>
      <w:r w:rsidR="00847CEB">
        <w:rPr>
          <w:rFonts w:cs="Arial"/>
          <w:sz w:val="26"/>
          <w:szCs w:val="26"/>
        </w:rPr>
        <w:t xml:space="preserve"> </w:t>
      </w:r>
      <w:r w:rsidR="00EC56F4">
        <w:rPr>
          <w:rFonts w:cs="Arial"/>
          <w:sz w:val="26"/>
          <w:szCs w:val="26"/>
        </w:rPr>
        <w:t xml:space="preserve">The figures for Derbyshire schools are provided in Appendix 1, the </w:t>
      </w:r>
      <w:r w:rsidR="00847CEB">
        <w:rPr>
          <w:rFonts w:cs="Arial"/>
          <w:sz w:val="26"/>
          <w:szCs w:val="26"/>
        </w:rPr>
        <w:t xml:space="preserve">headline changes are </w:t>
      </w:r>
      <w:r w:rsidRPr="006D1867">
        <w:rPr>
          <w:rFonts w:cs="Arial"/>
          <w:sz w:val="26"/>
          <w:szCs w:val="26"/>
        </w:rPr>
        <w:t>as follows</w:t>
      </w:r>
      <w:r w:rsidR="007E168A">
        <w:rPr>
          <w:rFonts w:cs="Arial"/>
          <w:sz w:val="26"/>
          <w:szCs w:val="26"/>
        </w:rPr>
        <w:t>.</w:t>
      </w:r>
    </w:p>
    <w:p w:rsidRPr="006D1867" w:rsidR="006D1867" w:rsidP="006D1867" w:rsidRDefault="006D1867">
      <w:pPr>
        <w:rPr>
          <w:rFonts w:cs="Arial"/>
          <w:sz w:val="26"/>
          <w:szCs w:val="26"/>
        </w:rPr>
      </w:pPr>
    </w:p>
    <w:p w:rsidRPr="005B432E" w:rsidR="006D1867" w:rsidP="005B432E" w:rsidRDefault="006D1867">
      <w:pPr>
        <w:rPr>
          <w:rFonts w:cs="Arial"/>
          <w:sz w:val="26"/>
          <w:szCs w:val="26"/>
        </w:rPr>
      </w:pPr>
      <w:r w:rsidRPr="005B432E">
        <w:rPr>
          <w:rFonts w:cs="Arial"/>
          <w:sz w:val="26"/>
          <w:szCs w:val="26"/>
        </w:rPr>
        <w:t xml:space="preserve">The primary sector shows an overall gain of £11.2m (5%), the </w:t>
      </w:r>
      <w:r w:rsidRPr="005B432E" w:rsidR="007B6B0C">
        <w:rPr>
          <w:rFonts w:cs="Arial"/>
          <w:sz w:val="26"/>
          <w:szCs w:val="26"/>
        </w:rPr>
        <w:t xml:space="preserve">spread of this change grouped </w:t>
      </w:r>
      <w:r w:rsidRPr="005B432E">
        <w:rPr>
          <w:rFonts w:cs="Arial"/>
          <w:sz w:val="26"/>
          <w:szCs w:val="26"/>
        </w:rPr>
        <w:t xml:space="preserve">by school </w:t>
      </w:r>
      <w:r w:rsidRPr="005B432E" w:rsidR="007B6B0C">
        <w:rPr>
          <w:rFonts w:cs="Arial"/>
          <w:sz w:val="26"/>
          <w:szCs w:val="26"/>
        </w:rPr>
        <w:t xml:space="preserve">size </w:t>
      </w:r>
      <w:r w:rsidRPr="005B432E">
        <w:rPr>
          <w:rFonts w:cs="Arial"/>
          <w:sz w:val="26"/>
          <w:szCs w:val="26"/>
        </w:rPr>
        <w:t xml:space="preserve">is </w:t>
      </w:r>
      <w:r w:rsidRPr="005B432E" w:rsidR="007B6B0C">
        <w:rPr>
          <w:rFonts w:cs="Arial"/>
          <w:sz w:val="26"/>
          <w:szCs w:val="26"/>
        </w:rPr>
        <w:t xml:space="preserve">provided </w:t>
      </w:r>
      <w:r w:rsidRPr="005B432E">
        <w:rPr>
          <w:rFonts w:cs="Arial"/>
          <w:sz w:val="26"/>
          <w:szCs w:val="26"/>
        </w:rPr>
        <w:t xml:space="preserve">below: </w:t>
      </w:r>
    </w:p>
    <w:p w:rsidRPr="007B6B0C" w:rsidR="00577A9B" w:rsidP="00577A9B" w:rsidRDefault="00577A9B">
      <w:pPr>
        <w:pStyle w:val="ListParagraph"/>
        <w:ind w:left="284"/>
        <w:rPr>
          <w:rFonts w:cs="Arial"/>
          <w:sz w:val="26"/>
          <w:szCs w:val="26"/>
        </w:rPr>
      </w:pPr>
    </w:p>
    <w:tbl>
      <w:tblPr>
        <w:tblStyle w:val="TableGrid"/>
        <w:tblW w:w="9565" w:type="dxa"/>
        <w:tblLook w:val="04A0" w:firstRow="1" w:lastRow="0" w:firstColumn="1" w:lastColumn="0" w:noHBand="0" w:noVBand="1"/>
      </w:tblPr>
      <w:tblGrid>
        <w:gridCol w:w="1809"/>
        <w:gridCol w:w="1098"/>
        <w:gridCol w:w="1662"/>
        <w:gridCol w:w="1098"/>
        <w:gridCol w:w="1731"/>
        <w:gridCol w:w="1098"/>
        <w:gridCol w:w="1069"/>
      </w:tblGrid>
      <w:tr w:rsidRPr="006D1867" w:rsidR="006D1867" w:rsidTr="006D1867">
        <w:tc>
          <w:tcPr>
            <w:tcW w:w="1809" w:type="dxa"/>
          </w:tcPr>
          <w:p w:rsidRPr="006D1867" w:rsidR="006D1867" w:rsidP="006A3EEC" w:rsidRDefault="006D1867">
            <w:pPr>
              <w:rPr>
                <w:rFonts w:ascii="Arial" w:hAnsi="Arial" w:cs="Arial"/>
                <w:sz w:val="26"/>
                <w:szCs w:val="26"/>
              </w:rPr>
            </w:pPr>
            <w:r w:rsidRPr="006D1867">
              <w:rPr>
                <w:rFonts w:ascii="Arial" w:hAnsi="Arial" w:cs="Arial"/>
                <w:sz w:val="26"/>
                <w:szCs w:val="26"/>
              </w:rPr>
              <w:t>Size of school</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No</w:t>
            </w:r>
            <w:r w:rsidR="005806B7">
              <w:rPr>
                <w:rFonts w:ascii="Arial" w:hAnsi="Arial" w:cs="Arial"/>
                <w:sz w:val="26"/>
                <w:szCs w:val="26"/>
              </w:rPr>
              <w:t>.</w:t>
            </w:r>
            <w:r w:rsidRPr="006D1867">
              <w:rPr>
                <w:rFonts w:ascii="Arial" w:hAnsi="Arial" w:cs="Arial"/>
                <w:sz w:val="26"/>
                <w:szCs w:val="26"/>
              </w:rPr>
              <w:t xml:space="preserve"> schools</w:t>
            </w:r>
          </w:p>
        </w:tc>
        <w:tc>
          <w:tcPr>
            <w:tcW w:w="1662" w:type="dxa"/>
          </w:tcPr>
          <w:p w:rsidRPr="006D1867" w:rsidR="006D1867" w:rsidP="006A3EEC" w:rsidRDefault="006D1867">
            <w:pPr>
              <w:jc w:val="right"/>
              <w:rPr>
                <w:rFonts w:ascii="Arial" w:hAnsi="Arial" w:cs="Arial"/>
                <w:sz w:val="26"/>
                <w:szCs w:val="26"/>
              </w:rPr>
            </w:pPr>
          </w:p>
          <w:p w:rsidRPr="006D1867" w:rsidR="006D1867" w:rsidP="006A3EEC" w:rsidRDefault="006D1867">
            <w:pPr>
              <w:jc w:val="right"/>
              <w:rPr>
                <w:rFonts w:ascii="Arial" w:hAnsi="Arial" w:cs="Arial"/>
                <w:sz w:val="26"/>
                <w:szCs w:val="26"/>
              </w:rPr>
            </w:pPr>
            <w:r w:rsidRPr="006D1867">
              <w:rPr>
                <w:rFonts w:ascii="Arial" w:hAnsi="Arial" w:cs="Arial"/>
                <w:sz w:val="26"/>
                <w:szCs w:val="26"/>
              </w:rPr>
              <w:t>Gains</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No</w:t>
            </w:r>
            <w:r w:rsidR="005806B7">
              <w:rPr>
                <w:rFonts w:ascii="Arial" w:hAnsi="Arial" w:cs="Arial"/>
                <w:sz w:val="26"/>
                <w:szCs w:val="26"/>
              </w:rPr>
              <w:t>.</w:t>
            </w:r>
            <w:r w:rsidRPr="006D1867">
              <w:rPr>
                <w:rFonts w:ascii="Arial" w:hAnsi="Arial" w:cs="Arial"/>
                <w:sz w:val="26"/>
                <w:szCs w:val="26"/>
              </w:rPr>
              <w:t xml:space="preserve"> schools</w:t>
            </w:r>
          </w:p>
        </w:tc>
        <w:tc>
          <w:tcPr>
            <w:tcW w:w="1731" w:type="dxa"/>
          </w:tcPr>
          <w:p w:rsidRPr="006D1867" w:rsidR="006D1867" w:rsidP="006A3EEC" w:rsidRDefault="006D1867">
            <w:pPr>
              <w:jc w:val="right"/>
              <w:rPr>
                <w:rFonts w:ascii="Arial" w:hAnsi="Arial" w:cs="Arial"/>
                <w:sz w:val="26"/>
                <w:szCs w:val="26"/>
              </w:rPr>
            </w:pPr>
          </w:p>
          <w:p w:rsidRPr="006D1867" w:rsidR="006D1867" w:rsidP="006A3EEC" w:rsidRDefault="006D1867">
            <w:pPr>
              <w:jc w:val="right"/>
              <w:rPr>
                <w:rFonts w:ascii="Arial" w:hAnsi="Arial" w:cs="Arial"/>
                <w:sz w:val="26"/>
                <w:szCs w:val="26"/>
              </w:rPr>
            </w:pPr>
            <w:r w:rsidRPr="006D1867">
              <w:rPr>
                <w:rFonts w:ascii="Arial" w:hAnsi="Arial" w:cs="Arial"/>
                <w:sz w:val="26"/>
                <w:szCs w:val="26"/>
              </w:rPr>
              <w:t>Losses</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No</w:t>
            </w:r>
            <w:r w:rsidR="005806B7">
              <w:rPr>
                <w:rFonts w:ascii="Arial" w:hAnsi="Arial" w:cs="Arial"/>
                <w:sz w:val="26"/>
                <w:szCs w:val="26"/>
              </w:rPr>
              <w:t>.</w:t>
            </w:r>
            <w:r w:rsidRPr="006D1867">
              <w:rPr>
                <w:rFonts w:ascii="Arial" w:hAnsi="Arial" w:cs="Arial"/>
                <w:sz w:val="26"/>
                <w:szCs w:val="26"/>
              </w:rPr>
              <w:t xml:space="preserve"> schools</w:t>
            </w:r>
          </w:p>
        </w:tc>
        <w:tc>
          <w:tcPr>
            <w:tcW w:w="106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No change</w:t>
            </w:r>
          </w:p>
        </w:tc>
      </w:tr>
      <w:tr w:rsidRPr="006D1867" w:rsidR="006D1867" w:rsidTr="006D1867">
        <w:tc>
          <w:tcPr>
            <w:tcW w:w="1809" w:type="dxa"/>
          </w:tcPr>
          <w:p w:rsidRPr="006D1867" w:rsidR="006D1867" w:rsidP="006A3EEC" w:rsidRDefault="006D1867">
            <w:pPr>
              <w:rPr>
                <w:rFonts w:ascii="Arial" w:hAnsi="Arial" w:cs="Arial"/>
                <w:sz w:val="26"/>
                <w:szCs w:val="26"/>
              </w:rPr>
            </w:pPr>
            <w:r w:rsidRPr="006D1867">
              <w:rPr>
                <w:rFonts w:ascii="Arial" w:hAnsi="Arial" w:cs="Arial"/>
                <w:sz w:val="26"/>
                <w:szCs w:val="26"/>
              </w:rPr>
              <w:t>0-50</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32</w:t>
            </w:r>
          </w:p>
        </w:tc>
        <w:tc>
          <w:tcPr>
            <w:tcW w:w="166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£72,000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5 </w:t>
            </w:r>
          </w:p>
        </w:tc>
        <w:tc>
          <w:tcPr>
            <w:tcW w:w="1731"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FF0000"/>
                <w:sz w:val="26"/>
                <w:szCs w:val="26"/>
              </w:rPr>
              <w:t xml:space="preserve">-£97,000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27 </w:t>
            </w:r>
          </w:p>
        </w:tc>
        <w:tc>
          <w:tcPr>
            <w:tcW w:w="106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0</w:t>
            </w:r>
          </w:p>
        </w:tc>
      </w:tr>
      <w:tr w:rsidRPr="006D1867" w:rsidR="006D1867" w:rsidTr="006D1867">
        <w:tc>
          <w:tcPr>
            <w:tcW w:w="1809" w:type="dxa"/>
          </w:tcPr>
          <w:p w:rsidRPr="006D1867" w:rsidR="006D1867" w:rsidP="006A3EEC" w:rsidRDefault="006D1867">
            <w:pPr>
              <w:rPr>
                <w:rFonts w:ascii="Arial" w:hAnsi="Arial" w:cs="Arial"/>
                <w:sz w:val="26"/>
                <w:szCs w:val="26"/>
              </w:rPr>
            </w:pPr>
            <w:r w:rsidRPr="006D1867">
              <w:rPr>
                <w:rFonts w:ascii="Arial" w:hAnsi="Arial" w:cs="Arial"/>
                <w:sz w:val="26"/>
                <w:szCs w:val="26"/>
              </w:rPr>
              <w:t>51-100</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77</w:t>
            </w:r>
          </w:p>
        </w:tc>
        <w:tc>
          <w:tcPr>
            <w:tcW w:w="166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£394,000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38 </w:t>
            </w:r>
          </w:p>
        </w:tc>
        <w:tc>
          <w:tcPr>
            <w:tcW w:w="1731"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FF0000"/>
                <w:sz w:val="26"/>
                <w:szCs w:val="26"/>
              </w:rPr>
              <w:t xml:space="preserve">-£166,000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36 </w:t>
            </w:r>
          </w:p>
        </w:tc>
        <w:tc>
          <w:tcPr>
            <w:tcW w:w="106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3</w:t>
            </w:r>
          </w:p>
        </w:tc>
      </w:tr>
      <w:tr w:rsidRPr="006D1867" w:rsidR="006D1867" w:rsidTr="006D1867">
        <w:tc>
          <w:tcPr>
            <w:tcW w:w="1809" w:type="dxa"/>
          </w:tcPr>
          <w:p w:rsidRPr="006D1867" w:rsidR="006D1867" w:rsidP="006A3EEC" w:rsidRDefault="006D1867">
            <w:pPr>
              <w:rPr>
                <w:rFonts w:ascii="Arial" w:hAnsi="Arial" w:cs="Arial"/>
                <w:sz w:val="26"/>
                <w:szCs w:val="26"/>
              </w:rPr>
            </w:pPr>
            <w:r w:rsidRPr="006D1867">
              <w:rPr>
                <w:rFonts w:ascii="Arial" w:hAnsi="Arial" w:cs="Arial"/>
                <w:sz w:val="26"/>
                <w:szCs w:val="26"/>
              </w:rPr>
              <w:t>101-200</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121</w:t>
            </w:r>
          </w:p>
        </w:tc>
        <w:tc>
          <w:tcPr>
            <w:tcW w:w="166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£3,640,000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115 </w:t>
            </w:r>
          </w:p>
        </w:tc>
        <w:tc>
          <w:tcPr>
            <w:tcW w:w="1731"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FF0000"/>
                <w:sz w:val="26"/>
                <w:szCs w:val="26"/>
              </w:rPr>
              <w:t xml:space="preserve">-£46,000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5 </w:t>
            </w:r>
          </w:p>
        </w:tc>
        <w:tc>
          <w:tcPr>
            <w:tcW w:w="106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1</w:t>
            </w:r>
          </w:p>
        </w:tc>
      </w:tr>
      <w:tr w:rsidRPr="006D1867" w:rsidR="006D1867" w:rsidTr="006D1867">
        <w:tc>
          <w:tcPr>
            <w:tcW w:w="1809" w:type="dxa"/>
          </w:tcPr>
          <w:p w:rsidRPr="006D1867" w:rsidR="006D1867" w:rsidP="006A3EEC" w:rsidRDefault="006D1867">
            <w:pPr>
              <w:rPr>
                <w:rFonts w:ascii="Arial" w:hAnsi="Arial" w:cs="Arial"/>
                <w:sz w:val="26"/>
                <w:szCs w:val="26"/>
              </w:rPr>
            </w:pPr>
            <w:r w:rsidRPr="006D1867">
              <w:rPr>
                <w:rFonts w:ascii="Arial" w:hAnsi="Arial" w:cs="Arial"/>
                <w:sz w:val="26"/>
                <w:szCs w:val="26"/>
              </w:rPr>
              <w:t>Over 200</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120</w:t>
            </w:r>
          </w:p>
        </w:tc>
        <w:tc>
          <w:tcPr>
            <w:tcW w:w="1662"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£7,410,000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118 </w:t>
            </w:r>
          </w:p>
        </w:tc>
        <w:tc>
          <w:tcPr>
            <w:tcW w:w="1731"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FF0000"/>
                <w:sz w:val="26"/>
                <w:szCs w:val="26"/>
              </w:rPr>
              <w:t xml:space="preserve">-£7,000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2 </w:t>
            </w:r>
          </w:p>
        </w:tc>
        <w:tc>
          <w:tcPr>
            <w:tcW w:w="106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0</w:t>
            </w:r>
          </w:p>
        </w:tc>
      </w:tr>
      <w:tr w:rsidRPr="006D1867" w:rsidR="006D1867" w:rsidTr="006D1867">
        <w:tc>
          <w:tcPr>
            <w:tcW w:w="1809" w:type="dxa"/>
          </w:tcPr>
          <w:p w:rsidRPr="006D1867" w:rsidR="006D1867" w:rsidP="006A3EEC" w:rsidRDefault="006D1867">
            <w:pPr>
              <w:rPr>
                <w:rFonts w:ascii="Arial" w:hAnsi="Arial" w:cs="Arial"/>
                <w:sz w:val="26"/>
                <w:szCs w:val="26"/>
              </w:rPr>
            </w:pPr>
            <w:r w:rsidRPr="006D1867">
              <w:rPr>
                <w:rFonts w:ascii="Arial" w:hAnsi="Arial" w:cs="Arial"/>
                <w:sz w:val="26"/>
                <w:szCs w:val="26"/>
              </w:rPr>
              <w:t>Total</w:t>
            </w:r>
          </w:p>
        </w:tc>
        <w:tc>
          <w:tcPr>
            <w:tcW w:w="1098"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350</w:t>
            </w:r>
          </w:p>
        </w:tc>
        <w:tc>
          <w:tcPr>
            <w:tcW w:w="1662"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£11,516,000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276 </w:t>
            </w:r>
          </w:p>
        </w:tc>
        <w:tc>
          <w:tcPr>
            <w:tcW w:w="1731" w:type="dxa"/>
            <w:vAlign w:val="bottom"/>
          </w:tcPr>
          <w:p w:rsidRPr="006D1867" w:rsidR="006D1867" w:rsidP="006A3EEC" w:rsidRDefault="006D1867">
            <w:pPr>
              <w:jc w:val="right"/>
              <w:rPr>
                <w:rFonts w:ascii="Arial" w:hAnsi="Arial" w:cs="Arial"/>
                <w:color w:val="000000"/>
                <w:sz w:val="26"/>
                <w:szCs w:val="26"/>
              </w:rPr>
            </w:pPr>
            <w:r w:rsidRPr="006D1867">
              <w:rPr>
                <w:rFonts w:ascii="Arial" w:hAnsi="Arial" w:cs="Arial"/>
                <w:color w:val="FF0000"/>
                <w:sz w:val="26"/>
                <w:szCs w:val="26"/>
              </w:rPr>
              <w:t xml:space="preserve">-£316,000 </w:t>
            </w:r>
          </w:p>
        </w:tc>
        <w:tc>
          <w:tcPr>
            <w:tcW w:w="1098" w:type="dxa"/>
            <w:vAlign w:val="center"/>
          </w:tcPr>
          <w:p w:rsidRPr="006D1867" w:rsidR="006D1867" w:rsidP="006A3EEC" w:rsidRDefault="006D1867">
            <w:pPr>
              <w:jc w:val="right"/>
              <w:rPr>
                <w:rFonts w:ascii="Arial" w:hAnsi="Arial" w:cs="Arial"/>
                <w:color w:val="000000"/>
                <w:sz w:val="26"/>
                <w:szCs w:val="26"/>
              </w:rPr>
            </w:pPr>
            <w:r w:rsidRPr="006D1867">
              <w:rPr>
                <w:rFonts w:ascii="Arial" w:hAnsi="Arial" w:cs="Arial"/>
                <w:color w:val="000000"/>
                <w:sz w:val="26"/>
                <w:szCs w:val="26"/>
              </w:rPr>
              <w:t xml:space="preserve">70 </w:t>
            </w:r>
          </w:p>
        </w:tc>
        <w:tc>
          <w:tcPr>
            <w:tcW w:w="106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4</w:t>
            </w:r>
          </w:p>
        </w:tc>
      </w:tr>
    </w:tbl>
    <w:p w:rsidRPr="006D1867" w:rsidR="006D1867" w:rsidP="006D1867" w:rsidRDefault="006D1867">
      <w:pPr>
        <w:rPr>
          <w:rFonts w:cs="Arial"/>
          <w:sz w:val="26"/>
          <w:szCs w:val="26"/>
        </w:rPr>
      </w:pPr>
    </w:p>
    <w:p w:rsidRPr="005B432E" w:rsidR="007B6B0C" w:rsidP="005B432E" w:rsidRDefault="006D1867">
      <w:pPr>
        <w:rPr>
          <w:rFonts w:cs="Arial"/>
          <w:sz w:val="26"/>
          <w:szCs w:val="26"/>
        </w:rPr>
      </w:pPr>
      <w:r w:rsidRPr="005B432E">
        <w:rPr>
          <w:rFonts w:cs="Arial"/>
          <w:sz w:val="26"/>
          <w:szCs w:val="26"/>
        </w:rPr>
        <w:t xml:space="preserve">The biggest </w:t>
      </w:r>
      <w:r w:rsidRPr="005B432E" w:rsidR="00D94CCE">
        <w:rPr>
          <w:rFonts w:cs="Arial"/>
          <w:sz w:val="26"/>
          <w:szCs w:val="26"/>
        </w:rPr>
        <w:t xml:space="preserve">percentage </w:t>
      </w:r>
      <w:r w:rsidRPr="005B432E">
        <w:rPr>
          <w:rFonts w:cs="Arial"/>
          <w:sz w:val="26"/>
          <w:szCs w:val="26"/>
        </w:rPr>
        <w:t xml:space="preserve">gainer is Hilton primary </w:t>
      </w:r>
      <w:r w:rsidR="005806B7">
        <w:rPr>
          <w:rFonts w:cs="Arial"/>
          <w:sz w:val="26"/>
          <w:szCs w:val="26"/>
        </w:rPr>
        <w:t>(</w:t>
      </w:r>
      <w:r w:rsidRPr="005B432E" w:rsidR="00D94CCE">
        <w:rPr>
          <w:rFonts w:cs="Arial"/>
          <w:sz w:val="26"/>
          <w:szCs w:val="26"/>
        </w:rPr>
        <w:t xml:space="preserve">+7.8%, </w:t>
      </w:r>
      <w:r w:rsidRPr="005B432E">
        <w:rPr>
          <w:rFonts w:cs="Arial"/>
          <w:sz w:val="26"/>
          <w:szCs w:val="26"/>
        </w:rPr>
        <w:t>£193,000</w:t>
      </w:r>
      <w:r w:rsidRPr="005B432E" w:rsidR="00D94CCE">
        <w:rPr>
          <w:rFonts w:cs="Arial"/>
          <w:sz w:val="26"/>
          <w:szCs w:val="26"/>
        </w:rPr>
        <w:t>)</w:t>
      </w:r>
      <w:r w:rsidRPr="005B432E">
        <w:rPr>
          <w:rFonts w:cs="Arial"/>
          <w:sz w:val="26"/>
          <w:szCs w:val="26"/>
        </w:rPr>
        <w:t xml:space="preserve"> and the greatest loser Spire Junior (-2.5%</w:t>
      </w:r>
      <w:r w:rsidRPr="005B432E" w:rsidR="00D94CCE">
        <w:rPr>
          <w:rFonts w:cs="Arial"/>
          <w:sz w:val="26"/>
          <w:szCs w:val="26"/>
        </w:rPr>
        <w:t>, -£17,000</w:t>
      </w:r>
      <w:r w:rsidRPr="005B432E">
        <w:rPr>
          <w:rFonts w:cs="Arial"/>
          <w:sz w:val="26"/>
          <w:szCs w:val="26"/>
        </w:rPr>
        <w:t>).</w:t>
      </w:r>
      <w:r w:rsidRPr="005B432E" w:rsidR="00EC56F4">
        <w:rPr>
          <w:rFonts w:cs="Arial"/>
          <w:sz w:val="26"/>
          <w:szCs w:val="26"/>
        </w:rPr>
        <w:t xml:space="preserve">  </w:t>
      </w:r>
    </w:p>
    <w:p w:rsidR="007B6B0C" w:rsidP="006D1867" w:rsidRDefault="007B6B0C">
      <w:pPr>
        <w:rPr>
          <w:rFonts w:cs="Arial"/>
          <w:sz w:val="26"/>
          <w:szCs w:val="26"/>
        </w:rPr>
      </w:pPr>
    </w:p>
    <w:p w:rsidR="00792FE7" w:rsidP="006D1867" w:rsidRDefault="00A92F45">
      <w:pPr>
        <w:rPr>
          <w:rFonts w:cs="Arial"/>
          <w:sz w:val="26"/>
          <w:szCs w:val="26"/>
        </w:rPr>
      </w:pPr>
      <w:r>
        <w:rPr>
          <w:rFonts w:cs="Arial"/>
          <w:sz w:val="26"/>
          <w:szCs w:val="26"/>
        </w:rPr>
        <w:t xml:space="preserve">For </w:t>
      </w:r>
      <w:r w:rsidR="007B6B0C">
        <w:rPr>
          <w:rFonts w:cs="Arial"/>
          <w:sz w:val="26"/>
          <w:szCs w:val="26"/>
        </w:rPr>
        <w:t>Derbyshire</w:t>
      </w:r>
      <w:r w:rsidR="004D2DD2">
        <w:rPr>
          <w:rFonts w:cs="Arial"/>
          <w:sz w:val="26"/>
          <w:szCs w:val="26"/>
        </w:rPr>
        <w:t xml:space="preserve">, </w:t>
      </w:r>
      <w:r w:rsidR="007B6B0C">
        <w:rPr>
          <w:rFonts w:cs="Arial"/>
          <w:sz w:val="26"/>
          <w:szCs w:val="26"/>
        </w:rPr>
        <w:t xml:space="preserve">large primary schools </w:t>
      </w:r>
      <w:r w:rsidR="00D94CCE">
        <w:rPr>
          <w:rFonts w:cs="Arial"/>
          <w:sz w:val="26"/>
          <w:szCs w:val="26"/>
        </w:rPr>
        <w:t xml:space="preserve">in particular </w:t>
      </w:r>
      <w:r w:rsidR="007B6B0C">
        <w:rPr>
          <w:rFonts w:cs="Arial"/>
          <w:sz w:val="26"/>
          <w:szCs w:val="26"/>
        </w:rPr>
        <w:t xml:space="preserve">have benefitted from the increase in the AWPU (+£64). </w:t>
      </w:r>
      <w:r w:rsidR="00D94CCE">
        <w:rPr>
          <w:rFonts w:cs="Arial"/>
          <w:sz w:val="26"/>
          <w:szCs w:val="26"/>
        </w:rPr>
        <w:t>For s</w:t>
      </w:r>
      <w:r w:rsidR="007B6B0C">
        <w:rPr>
          <w:rFonts w:cs="Arial"/>
          <w:sz w:val="26"/>
          <w:szCs w:val="26"/>
        </w:rPr>
        <w:t xml:space="preserve">chools with over 306 on roll the increased AWPU has more than offset the reduction in the lump sum </w:t>
      </w:r>
      <w:r w:rsidR="00D94CCE">
        <w:rPr>
          <w:rFonts w:cs="Arial"/>
          <w:sz w:val="26"/>
          <w:szCs w:val="26"/>
        </w:rPr>
        <w:t xml:space="preserve">allowance </w:t>
      </w:r>
      <w:r w:rsidR="007B6B0C">
        <w:rPr>
          <w:rFonts w:cs="Arial"/>
          <w:sz w:val="26"/>
          <w:szCs w:val="26"/>
        </w:rPr>
        <w:t>(</w:t>
      </w:r>
      <w:r w:rsidR="00D94CCE">
        <w:rPr>
          <w:rFonts w:cs="Arial"/>
          <w:sz w:val="26"/>
          <w:szCs w:val="26"/>
        </w:rPr>
        <w:t>-</w:t>
      </w:r>
      <w:r w:rsidR="007B6B0C">
        <w:rPr>
          <w:rFonts w:cs="Arial"/>
          <w:sz w:val="26"/>
          <w:szCs w:val="26"/>
        </w:rPr>
        <w:t>£19,222)</w:t>
      </w:r>
      <w:r w:rsidR="00D94CCE">
        <w:rPr>
          <w:rFonts w:cs="Arial"/>
          <w:sz w:val="26"/>
          <w:szCs w:val="26"/>
        </w:rPr>
        <w:t>.</w:t>
      </w:r>
      <w:r>
        <w:rPr>
          <w:rFonts w:cs="Arial"/>
          <w:sz w:val="26"/>
          <w:szCs w:val="26"/>
        </w:rPr>
        <w:t xml:space="preserve"> However, the most significant variation affecting the primary sector has been the change to the low cost high incidence additional educational </w:t>
      </w:r>
      <w:r w:rsidR="005156F8">
        <w:rPr>
          <w:rFonts w:cs="Arial"/>
          <w:sz w:val="26"/>
          <w:szCs w:val="26"/>
        </w:rPr>
        <w:t xml:space="preserve">need </w:t>
      </w:r>
      <w:r>
        <w:rPr>
          <w:rFonts w:cs="Arial"/>
          <w:sz w:val="26"/>
          <w:szCs w:val="26"/>
        </w:rPr>
        <w:t>(LCHI AEN)</w:t>
      </w:r>
      <w:r w:rsidR="007E168A">
        <w:rPr>
          <w:rFonts w:cs="Arial"/>
          <w:sz w:val="26"/>
          <w:szCs w:val="26"/>
        </w:rPr>
        <w:t xml:space="preserve"> allocation</w:t>
      </w:r>
      <w:r>
        <w:rPr>
          <w:rFonts w:cs="Arial"/>
          <w:sz w:val="26"/>
          <w:szCs w:val="26"/>
        </w:rPr>
        <w:t>. Derbyshire’s multiplier (£161.29) is the 2</w:t>
      </w:r>
      <w:r w:rsidRPr="00A92F45">
        <w:rPr>
          <w:rFonts w:cs="Arial"/>
          <w:sz w:val="26"/>
          <w:szCs w:val="26"/>
          <w:vertAlign w:val="superscript"/>
        </w:rPr>
        <w:t>nd</w:t>
      </w:r>
      <w:r>
        <w:rPr>
          <w:rFonts w:cs="Arial"/>
          <w:sz w:val="26"/>
          <w:szCs w:val="26"/>
        </w:rPr>
        <w:t xml:space="preserve"> lowest of 27 shire LAs and </w:t>
      </w:r>
      <w:r w:rsidR="007E168A">
        <w:rPr>
          <w:rFonts w:cs="Arial"/>
          <w:sz w:val="26"/>
          <w:szCs w:val="26"/>
        </w:rPr>
        <w:t xml:space="preserve">the </w:t>
      </w:r>
      <w:r>
        <w:rPr>
          <w:rFonts w:cs="Arial"/>
          <w:sz w:val="26"/>
          <w:szCs w:val="26"/>
        </w:rPr>
        <w:t>12</w:t>
      </w:r>
      <w:r w:rsidRPr="00A92F45">
        <w:rPr>
          <w:rFonts w:cs="Arial"/>
          <w:sz w:val="26"/>
          <w:szCs w:val="26"/>
          <w:vertAlign w:val="superscript"/>
        </w:rPr>
        <w:t>th</w:t>
      </w:r>
      <w:r>
        <w:rPr>
          <w:rFonts w:cs="Arial"/>
          <w:sz w:val="26"/>
          <w:szCs w:val="26"/>
        </w:rPr>
        <w:t xml:space="preserve"> lowest nationally. The proposed NFF </w:t>
      </w:r>
      <w:r w:rsidR="00792FE7">
        <w:rPr>
          <w:rFonts w:cs="Arial"/>
          <w:sz w:val="26"/>
          <w:szCs w:val="26"/>
        </w:rPr>
        <w:t xml:space="preserve">primary </w:t>
      </w:r>
      <w:r>
        <w:rPr>
          <w:rFonts w:cs="Arial"/>
          <w:sz w:val="26"/>
          <w:szCs w:val="26"/>
        </w:rPr>
        <w:t xml:space="preserve">multiplier </w:t>
      </w:r>
      <w:r w:rsidR="00792FE7">
        <w:rPr>
          <w:rFonts w:cs="Arial"/>
          <w:sz w:val="26"/>
          <w:szCs w:val="26"/>
        </w:rPr>
        <w:t xml:space="preserve">for LCHI AEN is £1,050 </w:t>
      </w:r>
      <w:r>
        <w:rPr>
          <w:rFonts w:cs="Arial"/>
          <w:sz w:val="26"/>
          <w:szCs w:val="26"/>
        </w:rPr>
        <w:t xml:space="preserve">which </w:t>
      </w:r>
      <w:r w:rsidR="00792FE7">
        <w:rPr>
          <w:rFonts w:cs="Arial"/>
          <w:sz w:val="26"/>
          <w:szCs w:val="26"/>
        </w:rPr>
        <w:t xml:space="preserve">is 550% higher </w:t>
      </w:r>
      <w:r w:rsidR="007E168A">
        <w:rPr>
          <w:rFonts w:cs="Arial"/>
          <w:sz w:val="26"/>
          <w:szCs w:val="26"/>
        </w:rPr>
        <w:t xml:space="preserve">than Derbyshire’s current multiplier </w:t>
      </w:r>
      <w:r w:rsidR="00792FE7">
        <w:rPr>
          <w:rFonts w:cs="Arial"/>
          <w:sz w:val="26"/>
          <w:szCs w:val="26"/>
        </w:rPr>
        <w:t xml:space="preserve">and would </w:t>
      </w:r>
      <w:r w:rsidR="007E168A">
        <w:rPr>
          <w:rFonts w:cs="Arial"/>
          <w:sz w:val="26"/>
          <w:szCs w:val="26"/>
        </w:rPr>
        <w:t xml:space="preserve">ultimately </w:t>
      </w:r>
      <w:r w:rsidR="00792FE7">
        <w:rPr>
          <w:rFonts w:cs="Arial"/>
          <w:sz w:val="26"/>
          <w:szCs w:val="26"/>
        </w:rPr>
        <w:t xml:space="preserve">bring in an extra £16.673m. </w:t>
      </w:r>
    </w:p>
    <w:p w:rsidR="00792FE7" w:rsidP="006D1867" w:rsidRDefault="00792FE7">
      <w:pPr>
        <w:rPr>
          <w:rFonts w:cs="Arial"/>
          <w:sz w:val="26"/>
          <w:szCs w:val="26"/>
        </w:rPr>
      </w:pPr>
    </w:p>
    <w:p w:rsidR="007B6B0C" w:rsidP="006D1867" w:rsidRDefault="005156F8">
      <w:pPr>
        <w:rPr>
          <w:rFonts w:cs="Arial"/>
          <w:sz w:val="26"/>
          <w:szCs w:val="26"/>
        </w:rPr>
      </w:pPr>
      <w:r>
        <w:rPr>
          <w:rFonts w:cs="Arial"/>
          <w:sz w:val="26"/>
          <w:szCs w:val="26"/>
        </w:rPr>
        <w:t xml:space="preserve">A further </w:t>
      </w:r>
      <w:r w:rsidR="00792FE7">
        <w:rPr>
          <w:rFonts w:cs="Arial"/>
          <w:sz w:val="26"/>
          <w:szCs w:val="26"/>
        </w:rPr>
        <w:t>significant change affecting the primary sector is deprivation with a £2.826m</w:t>
      </w:r>
      <w:r w:rsidR="007E168A">
        <w:rPr>
          <w:rFonts w:cs="Arial"/>
          <w:sz w:val="26"/>
          <w:szCs w:val="26"/>
        </w:rPr>
        <w:t xml:space="preserve"> lower allocation</w:t>
      </w:r>
      <w:r w:rsidR="00792FE7">
        <w:rPr>
          <w:rFonts w:cs="Arial"/>
          <w:sz w:val="26"/>
          <w:szCs w:val="26"/>
        </w:rPr>
        <w:t>,</w:t>
      </w:r>
      <w:r w:rsidR="00B1595D">
        <w:rPr>
          <w:rFonts w:cs="Arial"/>
          <w:sz w:val="26"/>
          <w:szCs w:val="26"/>
        </w:rPr>
        <w:t xml:space="preserve"> </w:t>
      </w:r>
      <w:r w:rsidR="00792FE7">
        <w:rPr>
          <w:rFonts w:cs="Arial"/>
          <w:sz w:val="26"/>
          <w:szCs w:val="26"/>
        </w:rPr>
        <w:t xml:space="preserve">a 14% reduction on the current total. The </w:t>
      </w:r>
      <w:r w:rsidR="00B1595D">
        <w:rPr>
          <w:rFonts w:cs="Arial"/>
          <w:sz w:val="26"/>
          <w:szCs w:val="26"/>
        </w:rPr>
        <w:t xml:space="preserve">introduction of IDACI and current entitlement to a free school meal </w:t>
      </w:r>
      <w:r w:rsidR="007E168A">
        <w:rPr>
          <w:rFonts w:cs="Arial"/>
          <w:sz w:val="26"/>
          <w:szCs w:val="26"/>
        </w:rPr>
        <w:t xml:space="preserve">as indicators </w:t>
      </w:r>
      <w:r w:rsidR="00B1595D">
        <w:rPr>
          <w:rFonts w:cs="Arial"/>
          <w:sz w:val="26"/>
          <w:szCs w:val="26"/>
        </w:rPr>
        <w:t>ha</w:t>
      </w:r>
      <w:r w:rsidR="007E168A">
        <w:rPr>
          <w:rFonts w:cs="Arial"/>
          <w:sz w:val="26"/>
          <w:szCs w:val="26"/>
        </w:rPr>
        <w:t>s</w:t>
      </w:r>
      <w:r w:rsidR="00B1595D">
        <w:rPr>
          <w:rFonts w:cs="Arial"/>
          <w:sz w:val="26"/>
          <w:szCs w:val="26"/>
        </w:rPr>
        <w:t xml:space="preserve"> </w:t>
      </w:r>
      <w:r w:rsidR="00792FE7">
        <w:rPr>
          <w:rFonts w:cs="Arial"/>
          <w:sz w:val="26"/>
          <w:szCs w:val="26"/>
        </w:rPr>
        <w:t xml:space="preserve">also proved turbulent with gains and losses </w:t>
      </w:r>
      <w:r w:rsidR="007C3B87">
        <w:rPr>
          <w:rFonts w:cs="Arial"/>
          <w:sz w:val="26"/>
          <w:szCs w:val="26"/>
        </w:rPr>
        <w:t xml:space="preserve">at individual schools </w:t>
      </w:r>
      <w:r w:rsidR="00792FE7">
        <w:rPr>
          <w:rFonts w:cs="Arial"/>
          <w:sz w:val="26"/>
          <w:szCs w:val="26"/>
        </w:rPr>
        <w:t>of between +48.9% and -</w:t>
      </w:r>
      <w:r w:rsidR="00801842">
        <w:rPr>
          <w:rFonts w:cs="Arial"/>
          <w:sz w:val="26"/>
          <w:szCs w:val="26"/>
        </w:rPr>
        <w:t>6</w:t>
      </w:r>
      <w:r w:rsidR="00792FE7">
        <w:rPr>
          <w:rFonts w:cs="Arial"/>
          <w:sz w:val="26"/>
          <w:szCs w:val="26"/>
        </w:rPr>
        <w:t>3.3%</w:t>
      </w:r>
      <w:r>
        <w:rPr>
          <w:rFonts w:cs="Arial"/>
          <w:sz w:val="26"/>
          <w:szCs w:val="26"/>
        </w:rPr>
        <w:t xml:space="preserve"> of their current deprivation allocation</w:t>
      </w:r>
      <w:r w:rsidR="00792FE7">
        <w:rPr>
          <w:rFonts w:cs="Arial"/>
          <w:sz w:val="26"/>
          <w:szCs w:val="26"/>
        </w:rPr>
        <w:t>.</w:t>
      </w:r>
    </w:p>
    <w:p w:rsidR="007B6B0C" w:rsidP="006D1867" w:rsidRDefault="007B6B0C">
      <w:pPr>
        <w:rPr>
          <w:rFonts w:cs="Arial"/>
          <w:sz w:val="26"/>
          <w:szCs w:val="26"/>
        </w:rPr>
      </w:pPr>
    </w:p>
    <w:p w:rsidRPr="005B432E" w:rsidR="00577A9B" w:rsidP="005B432E" w:rsidRDefault="00577A9B">
      <w:pPr>
        <w:rPr>
          <w:rFonts w:cs="Arial"/>
          <w:sz w:val="26"/>
          <w:szCs w:val="26"/>
        </w:rPr>
      </w:pPr>
      <w:r w:rsidRPr="005B432E">
        <w:rPr>
          <w:rFonts w:cs="Arial"/>
          <w:sz w:val="26"/>
          <w:szCs w:val="26"/>
        </w:rPr>
        <w:t>For secondary schools the picture is an overall reduction of £965,000 (-0.5%) as follows:</w:t>
      </w:r>
    </w:p>
    <w:p w:rsidRPr="006D1867" w:rsidR="00577A9B" w:rsidP="00577A9B" w:rsidRDefault="00577A9B">
      <w:pPr>
        <w:rPr>
          <w:rFonts w:cs="Arial"/>
          <w:sz w:val="26"/>
          <w:szCs w:val="26"/>
        </w:rPr>
      </w:pPr>
    </w:p>
    <w:tbl>
      <w:tblPr>
        <w:tblStyle w:val="TableGrid"/>
        <w:tblW w:w="9646" w:type="dxa"/>
        <w:tblLook w:val="04A0" w:firstRow="1" w:lastRow="0" w:firstColumn="1" w:lastColumn="0" w:noHBand="0" w:noVBand="1"/>
      </w:tblPr>
      <w:tblGrid>
        <w:gridCol w:w="1809"/>
        <w:gridCol w:w="1098"/>
        <w:gridCol w:w="1737"/>
        <w:gridCol w:w="1098"/>
        <w:gridCol w:w="1737"/>
        <w:gridCol w:w="1098"/>
        <w:gridCol w:w="1069"/>
      </w:tblGrid>
      <w:tr w:rsidRPr="006D1867" w:rsidR="00577A9B" w:rsidTr="0013597B">
        <w:tc>
          <w:tcPr>
            <w:tcW w:w="1809" w:type="dxa"/>
          </w:tcPr>
          <w:p w:rsidRPr="006D1867" w:rsidR="00577A9B" w:rsidP="0013597B" w:rsidRDefault="00577A9B">
            <w:pPr>
              <w:rPr>
                <w:rFonts w:ascii="Arial" w:hAnsi="Arial" w:cs="Arial"/>
                <w:sz w:val="26"/>
                <w:szCs w:val="26"/>
              </w:rPr>
            </w:pPr>
            <w:r w:rsidRPr="006D1867">
              <w:rPr>
                <w:rFonts w:ascii="Arial" w:hAnsi="Arial" w:cs="Arial"/>
                <w:sz w:val="26"/>
                <w:szCs w:val="26"/>
              </w:rPr>
              <w:t>Size of school</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No</w:t>
            </w:r>
            <w:r w:rsidR="005806B7">
              <w:rPr>
                <w:rFonts w:ascii="Arial" w:hAnsi="Arial" w:cs="Arial"/>
                <w:sz w:val="26"/>
                <w:szCs w:val="26"/>
              </w:rPr>
              <w:t>.</w:t>
            </w:r>
            <w:r w:rsidRPr="006D1867">
              <w:rPr>
                <w:rFonts w:ascii="Arial" w:hAnsi="Arial" w:cs="Arial"/>
                <w:sz w:val="26"/>
                <w:szCs w:val="26"/>
              </w:rPr>
              <w:t xml:space="preserve"> schools</w:t>
            </w:r>
          </w:p>
        </w:tc>
        <w:tc>
          <w:tcPr>
            <w:tcW w:w="1737" w:type="dxa"/>
          </w:tcPr>
          <w:p w:rsidRPr="006D1867" w:rsidR="00577A9B" w:rsidP="0013597B" w:rsidRDefault="00577A9B">
            <w:pPr>
              <w:jc w:val="right"/>
              <w:rPr>
                <w:rFonts w:ascii="Arial" w:hAnsi="Arial" w:cs="Arial"/>
                <w:sz w:val="26"/>
                <w:szCs w:val="26"/>
              </w:rPr>
            </w:pPr>
          </w:p>
          <w:p w:rsidRPr="006D1867" w:rsidR="00577A9B" w:rsidP="0013597B" w:rsidRDefault="00577A9B">
            <w:pPr>
              <w:jc w:val="right"/>
              <w:rPr>
                <w:rFonts w:ascii="Arial" w:hAnsi="Arial" w:cs="Arial"/>
                <w:sz w:val="26"/>
                <w:szCs w:val="26"/>
              </w:rPr>
            </w:pPr>
            <w:r w:rsidRPr="006D1867">
              <w:rPr>
                <w:rFonts w:ascii="Arial" w:hAnsi="Arial" w:cs="Arial"/>
                <w:sz w:val="26"/>
                <w:szCs w:val="26"/>
              </w:rPr>
              <w:t>Gains</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No</w:t>
            </w:r>
            <w:r w:rsidR="005806B7">
              <w:rPr>
                <w:rFonts w:ascii="Arial" w:hAnsi="Arial" w:cs="Arial"/>
                <w:sz w:val="26"/>
                <w:szCs w:val="26"/>
              </w:rPr>
              <w:t>.</w:t>
            </w:r>
            <w:r w:rsidRPr="006D1867">
              <w:rPr>
                <w:rFonts w:ascii="Arial" w:hAnsi="Arial" w:cs="Arial"/>
                <w:sz w:val="26"/>
                <w:szCs w:val="26"/>
              </w:rPr>
              <w:t xml:space="preserve"> schools</w:t>
            </w:r>
          </w:p>
        </w:tc>
        <w:tc>
          <w:tcPr>
            <w:tcW w:w="1737" w:type="dxa"/>
          </w:tcPr>
          <w:p w:rsidRPr="006D1867" w:rsidR="00577A9B" w:rsidP="0013597B" w:rsidRDefault="00577A9B">
            <w:pPr>
              <w:jc w:val="right"/>
              <w:rPr>
                <w:rFonts w:ascii="Arial" w:hAnsi="Arial" w:cs="Arial"/>
                <w:sz w:val="26"/>
                <w:szCs w:val="26"/>
              </w:rPr>
            </w:pPr>
          </w:p>
          <w:p w:rsidRPr="006D1867" w:rsidR="00577A9B" w:rsidP="0013597B" w:rsidRDefault="00577A9B">
            <w:pPr>
              <w:jc w:val="right"/>
              <w:rPr>
                <w:rFonts w:ascii="Arial" w:hAnsi="Arial" w:cs="Arial"/>
                <w:sz w:val="26"/>
                <w:szCs w:val="26"/>
              </w:rPr>
            </w:pPr>
            <w:r w:rsidRPr="006D1867">
              <w:rPr>
                <w:rFonts w:ascii="Arial" w:hAnsi="Arial" w:cs="Arial"/>
                <w:sz w:val="26"/>
                <w:szCs w:val="26"/>
              </w:rPr>
              <w:t>Losses</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No</w:t>
            </w:r>
            <w:r w:rsidR="005806B7">
              <w:rPr>
                <w:rFonts w:ascii="Arial" w:hAnsi="Arial" w:cs="Arial"/>
                <w:sz w:val="26"/>
                <w:szCs w:val="26"/>
              </w:rPr>
              <w:t>.</w:t>
            </w:r>
            <w:r w:rsidRPr="006D1867">
              <w:rPr>
                <w:rFonts w:ascii="Arial" w:hAnsi="Arial" w:cs="Arial"/>
                <w:sz w:val="26"/>
                <w:szCs w:val="26"/>
              </w:rPr>
              <w:t xml:space="preserve"> schools</w:t>
            </w:r>
          </w:p>
        </w:tc>
        <w:tc>
          <w:tcPr>
            <w:tcW w:w="1069"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No change</w:t>
            </w:r>
          </w:p>
        </w:tc>
      </w:tr>
      <w:tr w:rsidRPr="006D1867" w:rsidR="00577A9B" w:rsidTr="0013597B">
        <w:tc>
          <w:tcPr>
            <w:tcW w:w="1809" w:type="dxa"/>
          </w:tcPr>
          <w:p w:rsidRPr="006D1867" w:rsidR="00577A9B" w:rsidP="0013597B" w:rsidRDefault="00577A9B">
            <w:pPr>
              <w:rPr>
                <w:rFonts w:ascii="Arial" w:hAnsi="Arial" w:cs="Arial"/>
                <w:sz w:val="26"/>
                <w:szCs w:val="26"/>
              </w:rPr>
            </w:pPr>
            <w:r w:rsidRPr="006D1867">
              <w:rPr>
                <w:rFonts w:ascii="Arial" w:hAnsi="Arial" w:cs="Arial"/>
                <w:sz w:val="26"/>
                <w:szCs w:val="26"/>
              </w:rPr>
              <w:t>0-600</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12</w:t>
            </w:r>
          </w:p>
        </w:tc>
        <w:tc>
          <w:tcPr>
            <w:tcW w:w="1737"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 xml:space="preserve">£11,000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2</w:t>
            </w:r>
          </w:p>
        </w:tc>
        <w:tc>
          <w:tcPr>
            <w:tcW w:w="1737"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FF0000"/>
                <w:sz w:val="26"/>
                <w:szCs w:val="26"/>
              </w:rPr>
              <w:t xml:space="preserve">-£263,000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10</w:t>
            </w:r>
          </w:p>
        </w:tc>
        <w:tc>
          <w:tcPr>
            <w:tcW w:w="1069"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0</w:t>
            </w:r>
          </w:p>
        </w:tc>
      </w:tr>
      <w:tr w:rsidRPr="006D1867" w:rsidR="00577A9B" w:rsidTr="0013597B">
        <w:tc>
          <w:tcPr>
            <w:tcW w:w="1809" w:type="dxa"/>
          </w:tcPr>
          <w:p w:rsidRPr="006D1867" w:rsidR="00577A9B" w:rsidP="0013597B" w:rsidRDefault="00577A9B">
            <w:pPr>
              <w:rPr>
                <w:rFonts w:ascii="Arial" w:hAnsi="Arial" w:cs="Arial"/>
                <w:sz w:val="26"/>
                <w:szCs w:val="26"/>
              </w:rPr>
            </w:pPr>
            <w:r w:rsidRPr="006D1867">
              <w:rPr>
                <w:rFonts w:ascii="Arial" w:hAnsi="Arial" w:cs="Arial"/>
                <w:sz w:val="26"/>
                <w:szCs w:val="26"/>
              </w:rPr>
              <w:t>601-900</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16</w:t>
            </w:r>
          </w:p>
        </w:tc>
        <w:tc>
          <w:tcPr>
            <w:tcW w:w="1737"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 xml:space="preserve">£121,000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4</w:t>
            </w:r>
          </w:p>
        </w:tc>
        <w:tc>
          <w:tcPr>
            <w:tcW w:w="1737"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FF0000"/>
                <w:sz w:val="26"/>
                <w:szCs w:val="26"/>
              </w:rPr>
              <w:t xml:space="preserve">-£450,000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12</w:t>
            </w:r>
          </w:p>
        </w:tc>
        <w:tc>
          <w:tcPr>
            <w:tcW w:w="1069"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0</w:t>
            </w:r>
          </w:p>
        </w:tc>
      </w:tr>
      <w:tr w:rsidRPr="006D1867" w:rsidR="00577A9B" w:rsidTr="0013597B">
        <w:tc>
          <w:tcPr>
            <w:tcW w:w="1809" w:type="dxa"/>
          </w:tcPr>
          <w:p w:rsidRPr="006D1867" w:rsidR="00577A9B" w:rsidP="0013597B" w:rsidRDefault="00577A9B">
            <w:pPr>
              <w:rPr>
                <w:rFonts w:ascii="Arial" w:hAnsi="Arial" w:cs="Arial"/>
                <w:sz w:val="26"/>
                <w:szCs w:val="26"/>
              </w:rPr>
            </w:pPr>
            <w:r w:rsidRPr="006D1867">
              <w:rPr>
                <w:rFonts w:ascii="Arial" w:hAnsi="Arial" w:cs="Arial"/>
                <w:sz w:val="26"/>
                <w:szCs w:val="26"/>
              </w:rPr>
              <w:t>901-1200</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14</w:t>
            </w:r>
          </w:p>
        </w:tc>
        <w:tc>
          <w:tcPr>
            <w:tcW w:w="1737"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 xml:space="preserve">£167,000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4</w:t>
            </w:r>
          </w:p>
        </w:tc>
        <w:tc>
          <w:tcPr>
            <w:tcW w:w="1737" w:type="dxa"/>
            <w:vAlign w:val="center"/>
          </w:tcPr>
          <w:p w:rsidRPr="006D1867" w:rsidR="00577A9B" w:rsidP="0013597B" w:rsidRDefault="00577A9B">
            <w:pPr>
              <w:jc w:val="right"/>
              <w:rPr>
                <w:rFonts w:ascii="Arial" w:hAnsi="Arial" w:cs="Arial"/>
                <w:color w:val="FF0000"/>
                <w:sz w:val="26"/>
                <w:szCs w:val="26"/>
              </w:rPr>
            </w:pPr>
            <w:r w:rsidRPr="006D1867">
              <w:rPr>
                <w:rFonts w:ascii="Arial" w:hAnsi="Arial" w:cs="Arial"/>
                <w:color w:val="FF0000"/>
                <w:sz w:val="26"/>
                <w:szCs w:val="26"/>
              </w:rPr>
              <w:t xml:space="preserve">-£472,000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10</w:t>
            </w:r>
          </w:p>
        </w:tc>
        <w:tc>
          <w:tcPr>
            <w:tcW w:w="1069"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0</w:t>
            </w:r>
          </w:p>
        </w:tc>
      </w:tr>
      <w:tr w:rsidRPr="006D1867" w:rsidR="00577A9B" w:rsidTr="0013597B">
        <w:tc>
          <w:tcPr>
            <w:tcW w:w="1809" w:type="dxa"/>
          </w:tcPr>
          <w:p w:rsidRPr="006D1867" w:rsidR="00577A9B" w:rsidP="0013597B" w:rsidRDefault="00577A9B">
            <w:pPr>
              <w:rPr>
                <w:rFonts w:ascii="Arial" w:hAnsi="Arial" w:cs="Arial"/>
                <w:sz w:val="26"/>
                <w:szCs w:val="26"/>
              </w:rPr>
            </w:pPr>
            <w:r w:rsidRPr="006D1867">
              <w:rPr>
                <w:rFonts w:ascii="Arial" w:hAnsi="Arial" w:cs="Arial"/>
                <w:sz w:val="26"/>
                <w:szCs w:val="26"/>
              </w:rPr>
              <w:t>Over 200</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3</w:t>
            </w:r>
          </w:p>
        </w:tc>
        <w:tc>
          <w:tcPr>
            <w:tcW w:w="1737"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 xml:space="preserve">£58,000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1</w:t>
            </w:r>
          </w:p>
        </w:tc>
        <w:tc>
          <w:tcPr>
            <w:tcW w:w="1737" w:type="dxa"/>
            <w:vAlign w:val="center"/>
          </w:tcPr>
          <w:p w:rsidRPr="006D1867" w:rsidR="00577A9B" w:rsidP="0013597B" w:rsidRDefault="00577A9B">
            <w:pPr>
              <w:jc w:val="right"/>
              <w:rPr>
                <w:rFonts w:ascii="Arial" w:hAnsi="Arial" w:cs="Arial"/>
                <w:color w:val="FF0000"/>
                <w:sz w:val="26"/>
                <w:szCs w:val="26"/>
              </w:rPr>
            </w:pPr>
            <w:r w:rsidRPr="006D1867">
              <w:rPr>
                <w:rFonts w:ascii="Arial" w:hAnsi="Arial" w:cs="Arial"/>
                <w:color w:val="FF0000"/>
                <w:sz w:val="26"/>
                <w:szCs w:val="26"/>
              </w:rPr>
              <w:t xml:space="preserve">-£137,000 </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2</w:t>
            </w:r>
          </w:p>
        </w:tc>
        <w:tc>
          <w:tcPr>
            <w:tcW w:w="1069"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0</w:t>
            </w:r>
          </w:p>
        </w:tc>
      </w:tr>
      <w:tr w:rsidRPr="006D1867" w:rsidR="00577A9B" w:rsidTr="0013597B">
        <w:tc>
          <w:tcPr>
            <w:tcW w:w="1809" w:type="dxa"/>
          </w:tcPr>
          <w:p w:rsidRPr="006D1867" w:rsidR="00577A9B" w:rsidP="0013597B" w:rsidRDefault="00577A9B">
            <w:pPr>
              <w:rPr>
                <w:rFonts w:ascii="Arial" w:hAnsi="Arial" w:cs="Arial"/>
                <w:sz w:val="26"/>
                <w:szCs w:val="26"/>
              </w:rPr>
            </w:pPr>
            <w:r w:rsidRPr="006D1867">
              <w:rPr>
                <w:rFonts w:ascii="Arial" w:hAnsi="Arial" w:cs="Arial"/>
                <w:sz w:val="26"/>
                <w:szCs w:val="26"/>
              </w:rPr>
              <w:t>Total</w:t>
            </w:r>
          </w:p>
        </w:tc>
        <w:tc>
          <w:tcPr>
            <w:tcW w:w="1098"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45</w:t>
            </w:r>
          </w:p>
        </w:tc>
        <w:tc>
          <w:tcPr>
            <w:tcW w:w="1737" w:type="dxa"/>
            <w:vAlign w:val="bottom"/>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£357,000</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11</w:t>
            </w:r>
          </w:p>
        </w:tc>
        <w:tc>
          <w:tcPr>
            <w:tcW w:w="1737" w:type="dxa"/>
            <w:vAlign w:val="bottom"/>
          </w:tcPr>
          <w:p w:rsidRPr="006D1867" w:rsidR="00577A9B" w:rsidP="0013597B" w:rsidRDefault="00577A9B">
            <w:pPr>
              <w:jc w:val="right"/>
              <w:rPr>
                <w:rFonts w:ascii="Arial" w:hAnsi="Arial" w:cs="Arial"/>
                <w:color w:val="FF0000"/>
                <w:sz w:val="26"/>
                <w:szCs w:val="26"/>
              </w:rPr>
            </w:pPr>
            <w:r w:rsidRPr="006D1867">
              <w:rPr>
                <w:rFonts w:ascii="Arial" w:hAnsi="Arial" w:cs="Arial"/>
                <w:color w:val="FF0000"/>
                <w:sz w:val="26"/>
                <w:szCs w:val="26"/>
              </w:rPr>
              <w:t>£-1,332,000</w:t>
            </w:r>
          </w:p>
        </w:tc>
        <w:tc>
          <w:tcPr>
            <w:tcW w:w="1098" w:type="dxa"/>
            <w:vAlign w:val="center"/>
          </w:tcPr>
          <w:p w:rsidRPr="006D1867" w:rsidR="00577A9B" w:rsidP="0013597B" w:rsidRDefault="00577A9B">
            <w:pPr>
              <w:jc w:val="right"/>
              <w:rPr>
                <w:rFonts w:ascii="Arial" w:hAnsi="Arial" w:cs="Arial"/>
                <w:color w:val="000000"/>
                <w:sz w:val="26"/>
                <w:szCs w:val="26"/>
              </w:rPr>
            </w:pPr>
            <w:r w:rsidRPr="006D1867">
              <w:rPr>
                <w:rFonts w:ascii="Arial" w:hAnsi="Arial" w:cs="Arial"/>
                <w:color w:val="000000"/>
                <w:sz w:val="26"/>
                <w:szCs w:val="26"/>
              </w:rPr>
              <w:t>34</w:t>
            </w:r>
          </w:p>
        </w:tc>
        <w:tc>
          <w:tcPr>
            <w:tcW w:w="1069" w:type="dxa"/>
          </w:tcPr>
          <w:p w:rsidRPr="006D1867" w:rsidR="00577A9B" w:rsidP="0013597B" w:rsidRDefault="00577A9B">
            <w:pPr>
              <w:jc w:val="right"/>
              <w:rPr>
                <w:rFonts w:ascii="Arial" w:hAnsi="Arial" w:cs="Arial"/>
                <w:sz w:val="26"/>
                <w:szCs w:val="26"/>
              </w:rPr>
            </w:pPr>
            <w:r w:rsidRPr="006D1867">
              <w:rPr>
                <w:rFonts w:ascii="Arial" w:hAnsi="Arial" w:cs="Arial"/>
                <w:sz w:val="26"/>
                <w:szCs w:val="26"/>
              </w:rPr>
              <w:t>0</w:t>
            </w:r>
          </w:p>
        </w:tc>
      </w:tr>
    </w:tbl>
    <w:p w:rsidRPr="006D1867" w:rsidR="00577A9B" w:rsidP="00577A9B" w:rsidRDefault="00577A9B">
      <w:pPr>
        <w:rPr>
          <w:rFonts w:cs="Arial"/>
          <w:sz w:val="26"/>
          <w:szCs w:val="26"/>
        </w:rPr>
      </w:pPr>
    </w:p>
    <w:p w:rsidRPr="005B432E" w:rsidR="00577A9B" w:rsidP="005B432E" w:rsidRDefault="00577A9B">
      <w:pPr>
        <w:rPr>
          <w:rFonts w:cs="Arial"/>
          <w:sz w:val="26"/>
          <w:szCs w:val="26"/>
        </w:rPr>
      </w:pPr>
      <w:r w:rsidRPr="005B432E">
        <w:rPr>
          <w:rFonts w:cs="Arial"/>
          <w:sz w:val="26"/>
          <w:szCs w:val="26"/>
        </w:rPr>
        <w:t>The biggest percentage gainer is Shirebrook Academy (+1.3%, £56,000) and the greatest loser Ormiston Ilkeston Enterprise Academy (-2.9%, -£107,000).</w:t>
      </w:r>
    </w:p>
    <w:p w:rsidR="00577A9B" w:rsidP="00577A9B" w:rsidRDefault="00577A9B">
      <w:pPr>
        <w:rPr>
          <w:rFonts w:cs="Arial"/>
          <w:sz w:val="26"/>
          <w:szCs w:val="26"/>
        </w:rPr>
      </w:pPr>
    </w:p>
    <w:p w:rsidR="00D94CCE" w:rsidP="006D1867" w:rsidRDefault="003204D3">
      <w:pPr>
        <w:rPr>
          <w:rFonts w:cs="Arial"/>
          <w:sz w:val="26"/>
          <w:szCs w:val="26"/>
        </w:rPr>
      </w:pPr>
      <w:r>
        <w:rPr>
          <w:rFonts w:cs="Arial"/>
          <w:sz w:val="26"/>
          <w:szCs w:val="26"/>
        </w:rPr>
        <w:t xml:space="preserve">In the secondary sector the reduction in the lump sum of £40,967 </w:t>
      </w:r>
      <w:r w:rsidR="005B432E">
        <w:rPr>
          <w:rFonts w:cs="Arial"/>
          <w:sz w:val="26"/>
          <w:szCs w:val="26"/>
        </w:rPr>
        <w:t xml:space="preserve">per school </w:t>
      </w:r>
      <w:r w:rsidR="007C3B87">
        <w:rPr>
          <w:rFonts w:cs="Arial"/>
          <w:sz w:val="26"/>
          <w:szCs w:val="26"/>
        </w:rPr>
        <w:t xml:space="preserve">is </w:t>
      </w:r>
      <w:r>
        <w:rPr>
          <w:rFonts w:cs="Arial"/>
          <w:sz w:val="26"/>
          <w:szCs w:val="26"/>
        </w:rPr>
        <w:t xml:space="preserve">a significant factor removing £1.844m from the sector. Unlike the primary sector, changes to the AWPU values </w:t>
      </w:r>
      <w:r w:rsidR="005B432E">
        <w:rPr>
          <w:rFonts w:cs="Arial"/>
          <w:sz w:val="26"/>
          <w:szCs w:val="26"/>
        </w:rPr>
        <w:t xml:space="preserve">will </w:t>
      </w:r>
      <w:r>
        <w:rPr>
          <w:rFonts w:cs="Arial"/>
          <w:sz w:val="26"/>
          <w:szCs w:val="26"/>
        </w:rPr>
        <w:t>not compensate</w:t>
      </w:r>
      <w:r w:rsidR="004D2DD2">
        <w:rPr>
          <w:rFonts w:cs="Arial"/>
          <w:sz w:val="26"/>
          <w:szCs w:val="26"/>
        </w:rPr>
        <w:t xml:space="preserve">, </w:t>
      </w:r>
      <w:r>
        <w:rPr>
          <w:rFonts w:cs="Arial"/>
          <w:sz w:val="26"/>
          <w:szCs w:val="26"/>
        </w:rPr>
        <w:t xml:space="preserve">the NFF </w:t>
      </w:r>
      <w:r w:rsidR="007C3B87">
        <w:rPr>
          <w:rFonts w:cs="Arial"/>
          <w:sz w:val="26"/>
          <w:szCs w:val="26"/>
        </w:rPr>
        <w:t xml:space="preserve">AWPUs </w:t>
      </w:r>
      <w:r>
        <w:rPr>
          <w:rFonts w:cs="Arial"/>
          <w:sz w:val="26"/>
          <w:szCs w:val="26"/>
        </w:rPr>
        <w:t xml:space="preserve">only bring in a net </w:t>
      </w:r>
      <w:r w:rsidR="00577A9B">
        <w:rPr>
          <w:rFonts w:cs="Arial"/>
          <w:sz w:val="26"/>
          <w:szCs w:val="26"/>
        </w:rPr>
        <w:t xml:space="preserve">additional </w:t>
      </w:r>
      <w:r>
        <w:rPr>
          <w:rFonts w:cs="Arial"/>
          <w:sz w:val="26"/>
          <w:szCs w:val="26"/>
        </w:rPr>
        <w:t>£1.030m</w:t>
      </w:r>
      <w:r w:rsidR="00577A9B">
        <w:rPr>
          <w:rFonts w:cs="Arial"/>
          <w:sz w:val="26"/>
          <w:szCs w:val="26"/>
        </w:rPr>
        <w:t xml:space="preserve"> as Derbyshire’s current multipliers are similar to th</w:t>
      </w:r>
      <w:r w:rsidR="005B432E">
        <w:rPr>
          <w:rFonts w:cs="Arial"/>
          <w:sz w:val="26"/>
          <w:szCs w:val="26"/>
        </w:rPr>
        <w:t xml:space="preserve">ose in the </w:t>
      </w:r>
      <w:r w:rsidR="00577A9B">
        <w:rPr>
          <w:rFonts w:cs="Arial"/>
          <w:sz w:val="26"/>
          <w:szCs w:val="26"/>
        </w:rPr>
        <w:t>NFF.</w:t>
      </w:r>
    </w:p>
    <w:p w:rsidR="00D94CCE" w:rsidP="006D1867" w:rsidRDefault="00D94CCE">
      <w:pPr>
        <w:rPr>
          <w:rFonts w:cs="Arial"/>
          <w:sz w:val="26"/>
          <w:szCs w:val="26"/>
        </w:rPr>
      </w:pPr>
    </w:p>
    <w:p w:rsidR="00A92F45" w:rsidP="006D1867" w:rsidRDefault="00577A9B">
      <w:pPr>
        <w:rPr>
          <w:rFonts w:cs="Arial"/>
          <w:sz w:val="26"/>
          <w:szCs w:val="26"/>
        </w:rPr>
      </w:pPr>
      <w:r>
        <w:rPr>
          <w:rFonts w:cs="Arial"/>
          <w:sz w:val="26"/>
          <w:szCs w:val="26"/>
        </w:rPr>
        <w:t xml:space="preserve">The changes to LCHI AEN also </w:t>
      </w:r>
      <w:r w:rsidR="004D2DD2">
        <w:rPr>
          <w:rFonts w:cs="Arial"/>
          <w:sz w:val="26"/>
          <w:szCs w:val="26"/>
        </w:rPr>
        <w:t>benefit</w:t>
      </w:r>
      <w:r>
        <w:rPr>
          <w:rFonts w:cs="Arial"/>
          <w:sz w:val="26"/>
          <w:szCs w:val="26"/>
        </w:rPr>
        <w:t xml:space="preserve"> the secondary sector as the proposed NFF multiplier of £1,550 is 39% higher than Derbyshire’s figure </w:t>
      </w:r>
      <w:r w:rsidR="00B1595D">
        <w:rPr>
          <w:rFonts w:cs="Arial"/>
          <w:sz w:val="26"/>
          <w:szCs w:val="26"/>
        </w:rPr>
        <w:t xml:space="preserve">(£1,115.01) </w:t>
      </w:r>
      <w:r>
        <w:rPr>
          <w:rFonts w:cs="Arial"/>
          <w:sz w:val="26"/>
          <w:szCs w:val="26"/>
        </w:rPr>
        <w:t xml:space="preserve">and results in a net increase in resources of £3.214m. </w:t>
      </w:r>
      <w:r w:rsidR="00B1595D">
        <w:rPr>
          <w:rFonts w:cs="Arial"/>
          <w:sz w:val="26"/>
          <w:szCs w:val="26"/>
        </w:rPr>
        <w:t xml:space="preserve">The NFF distributes a lower level of deprivation funding reducing Derbyshire’s allocation by £2.507m (-14.5%). The introduction of IDACI and the current free school meal count have resulted in gains and losses </w:t>
      </w:r>
      <w:r w:rsidR="007C3B87">
        <w:rPr>
          <w:rFonts w:cs="Arial"/>
          <w:sz w:val="26"/>
          <w:szCs w:val="26"/>
        </w:rPr>
        <w:t>at individual school level of between +5.5% and -51.2%</w:t>
      </w:r>
      <w:r w:rsidR="005156F8">
        <w:rPr>
          <w:rFonts w:cs="Arial"/>
          <w:sz w:val="26"/>
          <w:szCs w:val="26"/>
        </w:rPr>
        <w:t xml:space="preserve"> of their current deprivation allocation.</w:t>
      </w:r>
    </w:p>
    <w:p w:rsidR="00A92F45" w:rsidP="006D1867" w:rsidRDefault="00A92F45">
      <w:pPr>
        <w:rPr>
          <w:rFonts w:cs="Arial"/>
          <w:sz w:val="26"/>
          <w:szCs w:val="26"/>
        </w:rPr>
      </w:pPr>
    </w:p>
    <w:p w:rsidR="006D1867" w:rsidP="006D1867" w:rsidRDefault="00E07072">
      <w:pPr>
        <w:rPr>
          <w:rFonts w:cs="Arial"/>
          <w:sz w:val="26"/>
          <w:szCs w:val="26"/>
        </w:rPr>
      </w:pPr>
      <w:r>
        <w:rPr>
          <w:rFonts w:cs="Arial"/>
          <w:sz w:val="26"/>
          <w:szCs w:val="26"/>
        </w:rPr>
        <w:t>N.B. i</w:t>
      </w:r>
      <w:r w:rsidRPr="007C3B87" w:rsidR="007C3B87">
        <w:rPr>
          <w:rFonts w:cs="Arial"/>
          <w:sz w:val="26"/>
          <w:szCs w:val="26"/>
        </w:rPr>
        <w:t xml:space="preserve">n </w:t>
      </w:r>
      <w:r w:rsidR="007C3B87">
        <w:rPr>
          <w:rFonts w:cs="Arial"/>
          <w:sz w:val="26"/>
          <w:szCs w:val="26"/>
        </w:rPr>
        <w:t xml:space="preserve">publishing comparative figures </w:t>
      </w:r>
      <w:r w:rsidRPr="007C3B87" w:rsidR="007C3B87">
        <w:rPr>
          <w:rFonts w:cs="Arial"/>
          <w:sz w:val="26"/>
          <w:szCs w:val="26"/>
        </w:rPr>
        <w:t xml:space="preserve">the DfE have removed </w:t>
      </w:r>
      <w:r w:rsidRPr="007C3B87" w:rsidR="006D1867">
        <w:rPr>
          <w:rFonts w:cs="Arial"/>
          <w:sz w:val="26"/>
          <w:szCs w:val="26"/>
        </w:rPr>
        <w:t xml:space="preserve">the £3.5m additional </w:t>
      </w:r>
      <w:r>
        <w:rPr>
          <w:rFonts w:cs="Arial"/>
          <w:sz w:val="26"/>
          <w:szCs w:val="26"/>
        </w:rPr>
        <w:t xml:space="preserve">funds </w:t>
      </w:r>
      <w:r w:rsidRPr="007C3B87" w:rsidR="006D1867">
        <w:rPr>
          <w:rFonts w:cs="Arial"/>
          <w:sz w:val="26"/>
          <w:szCs w:val="26"/>
        </w:rPr>
        <w:t xml:space="preserve">allocated to secondary schools </w:t>
      </w:r>
      <w:r w:rsidR="005156F8">
        <w:rPr>
          <w:rFonts w:cs="Arial"/>
          <w:sz w:val="26"/>
          <w:szCs w:val="26"/>
        </w:rPr>
        <w:t xml:space="preserve">in 2016-17 </w:t>
      </w:r>
      <w:r w:rsidRPr="007C3B87" w:rsidR="007C3B87">
        <w:rPr>
          <w:rFonts w:cs="Arial"/>
          <w:sz w:val="26"/>
          <w:szCs w:val="26"/>
        </w:rPr>
        <w:t xml:space="preserve">which </w:t>
      </w:r>
      <w:r w:rsidR="004D2DD2">
        <w:rPr>
          <w:rFonts w:cs="Arial"/>
          <w:sz w:val="26"/>
          <w:szCs w:val="26"/>
        </w:rPr>
        <w:t xml:space="preserve">were </w:t>
      </w:r>
      <w:r w:rsidRPr="007C3B87" w:rsidR="007C3B87">
        <w:rPr>
          <w:rFonts w:cs="Arial"/>
          <w:sz w:val="26"/>
          <w:szCs w:val="26"/>
        </w:rPr>
        <w:t xml:space="preserve">financed from </w:t>
      </w:r>
      <w:r w:rsidRPr="007C3B87" w:rsidR="006D1867">
        <w:rPr>
          <w:rFonts w:cs="Arial"/>
          <w:sz w:val="26"/>
          <w:szCs w:val="26"/>
        </w:rPr>
        <w:t>DSG cash resources</w:t>
      </w:r>
      <w:r w:rsidR="005806B7">
        <w:rPr>
          <w:rFonts w:cs="Arial"/>
          <w:sz w:val="26"/>
          <w:szCs w:val="26"/>
        </w:rPr>
        <w:t xml:space="preserve"> and scaled the prim</w:t>
      </w:r>
      <w:bookmarkStart w:name="_GoBack" w:id="0"/>
      <w:bookmarkEnd w:id="0"/>
      <w:r w:rsidR="005806B7">
        <w:rPr>
          <w:rFonts w:cs="Arial"/>
          <w:sz w:val="26"/>
          <w:szCs w:val="26"/>
        </w:rPr>
        <w:t>ary allocations by £0.619m to ensure the overall DSG spending balanced to the grant income</w:t>
      </w:r>
      <w:r w:rsidRPr="007C3B87" w:rsidR="006D1867">
        <w:rPr>
          <w:rFonts w:cs="Arial"/>
          <w:sz w:val="26"/>
          <w:szCs w:val="26"/>
        </w:rPr>
        <w:t>.</w:t>
      </w:r>
    </w:p>
    <w:p w:rsidR="005B432E" w:rsidP="006D1867" w:rsidRDefault="005B432E">
      <w:pPr>
        <w:rPr>
          <w:rFonts w:cs="Arial"/>
          <w:sz w:val="26"/>
          <w:szCs w:val="26"/>
        </w:rPr>
      </w:pPr>
    </w:p>
    <w:p w:rsidRPr="006D1867" w:rsidR="006D1867" w:rsidP="006D1867" w:rsidRDefault="00425079">
      <w:pPr>
        <w:rPr>
          <w:rFonts w:cs="Arial"/>
          <w:b/>
          <w:sz w:val="26"/>
          <w:szCs w:val="26"/>
          <w:u w:val="single"/>
        </w:rPr>
      </w:pPr>
      <w:r w:rsidRPr="00425079">
        <w:rPr>
          <w:rFonts w:cs="Arial"/>
          <w:b/>
          <w:sz w:val="26"/>
          <w:szCs w:val="26"/>
        </w:rPr>
        <w:t>2.</w:t>
      </w:r>
      <w:r w:rsidR="00E07072">
        <w:rPr>
          <w:rFonts w:cs="Arial"/>
          <w:b/>
          <w:sz w:val="26"/>
          <w:szCs w:val="26"/>
        </w:rPr>
        <w:t>4</w:t>
      </w:r>
      <w:r w:rsidRPr="00425079">
        <w:rPr>
          <w:rFonts w:cs="Arial"/>
          <w:b/>
          <w:sz w:val="26"/>
          <w:szCs w:val="26"/>
        </w:rPr>
        <w:tab/>
      </w:r>
      <w:r w:rsidRPr="006D1867" w:rsidR="006D1867">
        <w:rPr>
          <w:rFonts w:cs="Arial"/>
          <w:b/>
          <w:sz w:val="26"/>
          <w:szCs w:val="26"/>
          <w:u w:val="single"/>
        </w:rPr>
        <w:t>Central School Services Block (CSSB)</w:t>
      </w:r>
    </w:p>
    <w:p w:rsidRPr="006D1867" w:rsidR="006D1867" w:rsidP="006D1867" w:rsidRDefault="006D1867">
      <w:pPr>
        <w:rPr>
          <w:rFonts w:cs="Arial"/>
          <w:sz w:val="26"/>
          <w:szCs w:val="26"/>
        </w:rPr>
      </w:pPr>
    </w:p>
    <w:p w:rsidRPr="006D1867" w:rsidR="006D1867" w:rsidP="006D1867" w:rsidRDefault="006D1867">
      <w:pPr>
        <w:rPr>
          <w:rFonts w:cs="Arial"/>
          <w:sz w:val="26"/>
          <w:szCs w:val="26"/>
        </w:rPr>
      </w:pPr>
      <w:r w:rsidRPr="006D1867">
        <w:rPr>
          <w:rFonts w:cs="Arial"/>
          <w:sz w:val="26"/>
          <w:szCs w:val="26"/>
        </w:rPr>
        <w:t xml:space="preserve">This is a new block and will cover a range of defined functions. Derbyshire’s baseline funding is £2.736m </w:t>
      </w:r>
      <w:r w:rsidR="0029420B">
        <w:rPr>
          <w:rFonts w:cs="Arial"/>
          <w:sz w:val="26"/>
          <w:szCs w:val="26"/>
        </w:rPr>
        <w:t>and consist</w:t>
      </w:r>
      <w:r w:rsidR="00E07072">
        <w:rPr>
          <w:rFonts w:cs="Arial"/>
          <w:sz w:val="26"/>
          <w:szCs w:val="26"/>
        </w:rPr>
        <w:t>s</w:t>
      </w:r>
      <w:r w:rsidR="0029420B">
        <w:rPr>
          <w:rFonts w:cs="Arial"/>
          <w:sz w:val="26"/>
          <w:szCs w:val="26"/>
        </w:rPr>
        <w:t xml:space="preserve"> of the </w:t>
      </w:r>
      <w:r w:rsidRPr="006D1867">
        <w:rPr>
          <w:rFonts w:cs="Arial"/>
          <w:sz w:val="26"/>
          <w:szCs w:val="26"/>
        </w:rPr>
        <w:t>following components:</w:t>
      </w:r>
    </w:p>
    <w:p w:rsidRPr="006D1867" w:rsidR="006D1867" w:rsidP="006D1867" w:rsidRDefault="006D1867">
      <w:pPr>
        <w:rPr>
          <w:rFonts w:cs="Arial"/>
          <w:sz w:val="26"/>
          <w:szCs w:val="26"/>
        </w:rPr>
      </w:pPr>
    </w:p>
    <w:tbl>
      <w:tblPr>
        <w:tblStyle w:val="TableGrid"/>
        <w:tblW w:w="8363" w:type="dxa"/>
        <w:tblInd w:w="250" w:type="dxa"/>
        <w:tblLook w:val="04A0" w:firstRow="1" w:lastRow="0" w:firstColumn="1" w:lastColumn="0" w:noHBand="0" w:noVBand="1"/>
      </w:tblPr>
      <w:tblGrid>
        <w:gridCol w:w="3652"/>
        <w:gridCol w:w="1319"/>
        <w:gridCol w:w="3392"/>
      </w:tblGrid>
      <w:tr w:rsidRPr="006D1867" w:rsidR="006D1867" w:rsidTr="00B0421F">
        <w:tc>
          <w:tcPr>
            <w:tcW w:w="3652" w:type="dxa"/>
          </w:tcPr>
          <w:p w:rsidRPr="006D1867" w:rsidR="006D1867" w:rsidP="006A3EEC" w:rsidRDefault="006D1867">
            <w:pPr>
              <w:rPr>
                <w:rFonts w:ascii="Arial" w:hAnsi="Arial" w:cs="Arial"/>
                <w:sz w:val="26"/>
                <w:szCs w:val="26"/>
              </w:rPr>
            </w:pPr>
            <w:r w:rsidRPr="006D1867">
              <w:rPr>
                <w:rFonts w:ascii="Arial" w:hAnsi="Arial" w:cs="Arial"/>
                <w:sz w:val="26"/>
                <w:szCs w:val="26"/>
              </w:rPr>
              <w:t>Item</w:t>
            </w:r>
          </w:p>
        </w:tc>
        <w:tc>
          <w:tcPr>
            <w:tcW w:w="131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£k</w:t>
            </w:r>
          </w:p>
        </w:tc>
        <w:tc>
          <w:tcPr>
            <w:tcW w:w="3392" w:type="dxa"/>
          </w:tcPr>
          <w:p w:rsidRPr="006D1867" w:rsidR="006D1867" w:rsidP="006A3EEC" w:rsidRDefault="006D1867">
            <w:pPr>
              <w:jc w:val="center"/>
              <w:rPr>
                <w:rFonts w:ascii="Arial" w:hAnsi="Arial" w:cs="Arial"/>
                <w:sz w:val="26"/>
                <w:szCs w:val="26"/>
              </w:rPr>
            </w:pPr>
            <w:r w:rsidRPr="006D1867">
              <w:rPr>
                <w:rFonts w:ascii="Arial" w:hAnsi="Arial" w:cs="Arial"/>
                <w:sz w:val="26"/>
                <w:szCs w:val="26"/>
              </w:rPr>
              <w:t>DfE category</w:t>
            </w:r>
          </w:p>
        </w:tc>
      </w:tr>
      <w:tr w:rsidRPr="006D1867" w:rsidR="006D1867" w:rsidTr="00B0421F">
        <w:tc>
          <w:tcPr>
            <w:tcW w:w="3652" w:type="dxa"/>
          </w:tcPr>
          <w:p w:rsidRPr="006D1867" w:rsidR="006D1867" w:rsidP="006A3EEC" w:rsidRDefault="006D1867">
            <w:pPr>
              <w:rPr>
                <w:rFonts w:ascii="Arial" w:hAnsi="Arial" w:cs="Arial"/>
                <w:sz w:val="26"/>
                <w:szCs w:val="26"/>
              </w:rPr>
            </w:pPr>
            <w:r w:rsidRPr="006D1867">
              <w:rPr>
                <w:rFonts w:ascii="Arial" w:hAnsi="Arial" w:cs="Arial"/>
                <w:sz w:val="26"/>
                <w:szCs w:val="26"/>
              </w:rPr>
              <w:t>Family Resource Workers</w:t>
            </w:r>
          </w:p>
        </w:tc>
        <w:tc>
          <w:tcPr>
            <w:tcW w:w="131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1,686</w:t>
            </w:r>
          </w:p>
        </w:tc>
        <w:tc>
          <w:tcPr>
            <w:tcW w:w="3392" w:type="dxa"/>
          </w:tcPr>
          <w:p w:rsidRPr="006D1867" w:rsidR="006D1867" w:rsidP="006A3EEC" w:rsidRDefault="006D1867">
            <w:pPr>
              <w:jc w:val="center"/>
              <w:rPr>
                <w:rFonts w:ascii="Arial" w:hAnsi="Arial" w:cs="Arial"/>
                <w:sz w:val="26"/>
                <w:szCs w:val="26"/>
              </w:rPr>
            </w:pPr>
            <w:r w:rsidRPr="006D1867">
              <w:rPr>
                <w:rFonts w:ascii="Arial" w:hAnsi="Arial" w:cs="Arial"/>
                <w:sz w:val="26"/>
                <w:szCs w:val="26"/>
              </w:rPr>
              <w:t>Historic commitment</w:t>
            </w:r>
          </w:p>
        </w:tc>
      </w:tr>
      <w:tr w:rsidRPr="006D1867" w:rsidR="006D1867" w:rsidTr="00B0421F">
        <w:tc>
          <w:tcPr>
            <w:tcW w:w="3652" w:type="dxa"/>
            <w:vAlign w:val="bottom"/>
          </w:tcPr>
          <w:p w:rsidRPr="006D1867" w:rsidR="006D1867" w:rsidP="006A3EEC" w:rsidRDefault="006D1867">
            <w:pPr>
              <w:rPr>
                <w:rFonts w:ascii="Arial" w:hAnsi="Arial" w:cs="Arial"/>
                <w:color w:val="000000"/>
                <w:sz w:val="26"/>
                <w:szCs w:val="26"/>
              </w:rPr>
            </w:pPr>
            <w:r w:rsidRPr="006D1867">
              <w:rPr>
                <w:rFonts w:ascii="Arial" w:hAnsi="Arial" w:cs="Arial"/>
                <w:color w:val="000000"/>
                <w:sz w:val="26"/>
                <w:szCs w:val="26"/>
              </w:rPr>
              <w:t>Licences</w:t>
            </w:r>
          </w:p>
        </w:tc>
        <w:tc>
          <w:tcPr>
            <w:tcW w:w="131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554</w:t>
            </w:r>
          </w:p>
        </w:tc>
        <w:tc>
          <w:tcPr>
            <w:tcW w:w="3392" w:type="dxa"/>
          </w:tcPr>
          <w:p w:rsidRPr="006D1867" w:rsidR="006D1867" w:rsidP="006A3EEC" w:rsidRDefault="006D1867">
            <w:pPr>
              <w:jc w:val="center"/>
              <w:rPr>
                <w:rFonts w:ascii="Arial" w:hAnsi="Arial" w:cs="Arial"/>
                <w:sz w:val="26"/>
                <w:szCs w:val="26"/>
              </w:rPr>
            </w:pPr>
            <w:r w:rsidRPr="006D1867">
              <w:rPr>
                <w:rFonts w:ascii="Arial" w:hAnsi="Arial" w:cs="Arial"/>
                <w:sz w:val="26"/>
                <w:szCs w:val="26"/>
              </w:rPr>
              <w:t>Ongoing responsibility</w:t>
            </w:r>
          </w:p>
        </w:tc>
      </w:tr>
      <w:tr w:rsidRPr="006D1867" w:rsidR="006D1867" w:rsidTr="00B0421F">
        <w:tc>
          <w:tcPr>
            <w:tcW w:w="3652" w:type="dxa"/>
            <w:vAlign w:val="bottom"/>
          </w:tcPr>
          <w:p w:rsidRPr="006D1867" w:rsidR="006D1867" w:rsidP="006A3EEC" w:rsidRDefault="006D1867">
            <w:pPr>
              <w:rPr>
                <w:rFonts w:ascii="Arial" w:hAnsi="Arial" w:cs="Arial"/>
                <w:color w:val="000000"/>
                <w:sz w:val="26"/>
                <w:szCs w:val="26"/>
              </w:rPr>
            </w:pPr>
            <w:r w:rsidRPr="006D1867">
              <w:rPr>
                <w:rFonts w:ascii="Arial" w:hAnsi="Arial" w:cs="Arial"/>
                <w:color w:val="000000"/>
                <w:sz w:val="26"/>
                <w:szCs w:val="26"/>
              </w:rPr>
              <w:t>Admissions</w:t>
            </w:r>
          </w:p>
        </w:tc>
        <w:tc>
          <w:tcPr>
            <w:tcW w:w="131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468</w:t>
            </w:r>
          </w:p>
        </w:tc>
        <w:tc>
          <w:tcPr>
            <w:tcW w:w="3392" w:type="dxa"/>
          </w:tcPr>
          <w:p w:rsidRPr="006D1867" w:rsidR="006D1867" w:rsidP="006A3EEC" w:rsidRDefault="006D1867">
            <w:pPr>
              <w:jc w:val="center"/>
              <w:rPr>
                <w:rFonts w:ascii="Arial" w:hAnsi="Arial" w:cs="Arial"/>
                <w:sz w:val="26"/>
                <w:szCs w:val="26"/>
              </w:rPr>
            </w:pPr>
            <w:r w:rsidRPr="006D1867">
              <w:rPr>
                <w:rFonts w:ascii="Arial" w:hAnsi="Arial" w:cs="Arial"/>
                <w:sz w:val="26"/>
                <w:szCs w:val="26"/>
              </w:rPr>
              <w:t>Ongoing responsibility</w:t>
            </w:r>
          </w:p>
        </w:tc>
      </w:tr>
      <w:tr w:rsidRPr="006D1867" w:rsidR="006D1867" w:rsidTr="00B0421F">
        <w:tc>
          <w:tcPr>
            <w:tcW w:w="3652" w:type="dxa"/>
            <w:vAlign w:val="bottom"/>
          </w:tcPr>
          <w:p w:rsidRPr="006D1867" w:rsidR="006D1867" w:rsidP="006A3EEC" w:rsidRDefault="006D1867">
            <w:pPr>
              <w:rPr>
                <w:rFonts w:ascii="Arial" w:hAnsi="Arial" w:cs="Arial"/>
                <w:color w:val="000000"/>
                <w:sz w:val="26"/>
                <w:szCs w:val="26"/>
              </w:rPr>
            </w:pPr>
            <w:r w:rsidRPr="006D1867">
              <w:rPr>
                <w:rFonts w:ascii="Arial" w:hAnsi="Arial" w:cs="Arial"/>
                <w:color w:val="000000"/>
                <w:sz w:val="26"/>
                <w:szCs w:val="26"/>
              </w:rPr>
              <w:t>Schools Forum</w:t>
            </w:r>
          </w:p>
        </w:tc>
        <w:tc>
          <w:tcPr>
            <w:tcW w:w="131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28</w:t>
            </w:r>
          </w:p>
        </w:tc>
        <w:tc>
          <w:tcPr>
            <w:tcW w:w="3392" w:type="dxa"/>
          </w:tcPr>
          <w:p w:rsidRPr="006D1867" w:rsidR="006D1867" w:rsidP="006A3EEC" w:rsidRDefault="006D1867">
            <w:pPr>
              <w:jc w:val="center"/>
              <w:rPr>
                <w:rFonts w:ascii="Arial" w:hAnsi="Arial" w:cs="Arial"/>
                <w:sz w:val="26"/>
                <w:szCs w:val="26"/>
              </w:rPr>
            </w:pPr>
            <w:r w:rsidRPr="006D1867">
              <w:rPr>
                <w:rFonts w:ascii="Arial" w:hAnsi="Arial" w:cs="Arial"/>
                <w:sz w:val="26"/>
                <w:szCs w:val="26"/>
              </w:rPr>
              <w:t>Ongoing responsibility</w:t>
            </w:r>
          </w:p>
        </w:tc>
      </w:tr>
      <w:tr w:rsidRPr="006D1867" w:rsidR="006D1867" w:rsidTr="00B0421F">
        <w:tc>
          <w:tcPr>
            <w:tcW w:w="3652" w:type="dxa"/>
          </w:tcPr>
          <w:p w:rsidRPr="006D1867" w:rsidR="006D1867" w:rsidP="006A3EEC" w:rsidRDefault="006D1867">
            <w:pPr>
              <w:rPr>
                <w:rFonts w:ascii="Arial" w:hAnsi="Arial" w:cs="Arial"/>
                <w:sz w:val="26"/>
                <w:szCs w:val="26"/>
              </w:rPr>
            </w:pPr>
            <w:r w:rsidRPr="006D1867">
              <w:rPr>
                <w:rFonts w:ascii="Arial" w:hAnsi="Arial" w:cs="Arial"/>
                <w:sz w:val="26"/>
                <w:szCs w:val="26"/>
              </w:rPr>
              <w:t>Total</w:t>
            </w:r>
          </w:p>
        </w:tc>
        <w:tc>
          <w:tcPr>
            <w:tcW w:w="1319" w:type="dxa"/>
          </w:tcPr>
          <w:p w:rsidRPr="006D1867" w:rsidR="006D1867" w:rsidP="006A3EEC" w:rsidRDefault="006D1867">
            <w:pPr>
              <w:jc w:val="right"/>
              <w:rPr>
                <w:rFonts w:ascii="Arial" w:hAnsi="Arial" w:cs="Arial"/>
                <w:sz w:val="26"/>
                <w:szCs w:val="26"/>
              </w:rPr>
            </w:pPr>
            <w:r w:rsidRPr="006D1867">
              <w:rPr>
                <w:rFonts w:ascii="Arial" w:hAnsi="Arial" w:cs="Arial"/>
                <w:sz w:val="26"/>
                <w:szCs w:val="26"/>
              </w:rPr>
              <w:t>2,736</w:t>
            </w:r>
          </w:p>
        </w:tc>
        <w:tc>
          <w:tcPr>
            <w:tcW w:w="3392" w:type="dxa"/>
          </w:tcPr>
          <w:p w:rsidRPr="006D1867" w:rsidR="006D1867" w:rsidP="006A3EEC" w:rsidRDefault="006D1867">
            <w:pPr>
              <w:jc w:val="center"/>
              <w:rPr>
                <w:rFonts w:ascii="Arial" w:hAnsi="Arial" w:cs="Arial"/>
                <w:sz w:val="26"/>
                <w:szCs w:val="26"/>
              </w:rPr>
            </w:pPr>
          </w:p>
        </w:tc>
      </w:tr>
    </w:tbl>
    <w:p w:rsidRPr="006D1867" w:rsidR="006D1867" w:rsidP="006D1867" w:rsidRDefault="006D1867">
      <w:pPr>
        <w:rPr>
          <w:rFonts w:cs="Arial"/>
          <w:sz w:val="26"/>
          <w:szCs w:val="26"/>
        </w:rPr>
      </w:pPr>
    </w:p>
    <w:p w:rsidRPr="006D1867" w:rsidR="006D1867" w:rsidP="006D1867" w:rsidRDefault="006D1867">
      <w:pPr>
        <w:rPr>
          <w:rFonts w:cs="Arial"/>
          <w:sz w:val="26"/>
          <w:szCs w:val="26"/>
        </w:rPr>
      </w:pPr>
      <w:r w:rsidRPr="006D1867">
        <w:rPr>
          <w:rFonts w:cs="Arial"/>
          <w:sz w:val="26"/>
          <w:szCs w:val="26"/>
        </w:rPr>
        <w:t>In addition Derbyshire’s Education Services Grant (Retained Duties) this year is £1.57</w:t>
      </w:r>
      <w:r w:rsidR="0029420B">
        <w:rPr>
          <w:rFonts w:cs="Arial"/>
          <w:sz w:val="26"/>
          <w:szCs w:val="26"/>
        </w:rPr>
        <w:t>0</w:t>
      </w:r>
      <w:r w:rsidRPr="006D1867">
        <w:rPr>
          <w:rFonts w:cs="Arial"/>
          <w:sz w:val="26"/>
          <w:szCs w:val="26"/>
        </w:rPr>
        <w:t>m to give a combined starting baseline of £4.306m.</w:t>
      </w:r>
    </w:p>
    <w:p w:rsidRPr="006D1867" w:rsidR="006D1867" w:rsidP="006D1867" w:rsidRDefault="006D1867">
      <w:pPr>
        <w:rPr>
          <w:rFonts w:cs="Arial"/>
          <w:sz w:val="26"/>
          <w:szCs w:val="26"/>
        </w:rPr>
      </w:pPr>
    </w:p>
    <w:p w:rsidRPr="006D1867" w:rsidR="006D1867" w:rsidP="006D1867" w:rsidRDefault="006D1867">
      <w:pPr>
        <w:rPr>
          <w:rFonts w:cs="Arial"/>
          <w:sz w:val="26"/>
          <w:szCs w:val="26"/>
        </w:rPr>
      </w:pPr>
      <w:r w:rsidRPr="006D1867">
        <w:rPr>
          <w:rFonts w:cs="Arial"/>
          <w:sz w:val="26"/>
          <w:szCs w:val="26"/>
        </w:rPr>
        <w:t xml:space="preserve">The National CSSB Formula has three factors:  a rate per pupil (£24.67), a rate per Ever 6 free school meal (£28.64) and an historic commitment element. Derbyshire’s NFF </w:t>
      </w:r>
      <w:r w:rsidR="0029420B">
        <w:rPr>
          <w:rFonts w:cs="Arial"/>
          <w:sz w:val="26"/>
          <w:szCs w:val="26"/>
        </w:rPr>
        <w:t xml:space="preserve">CSSB </w:t>
      </w:r>
      <w:r w:rsidRPr="006D1867">
        <w:rPr>
          <w:rFonts w:cs="Arial"/>
          <w:sz w:val="26"/>
          <w:szCs w:val="26"/>
        </w:rPr>
        <w:t>allocation, post transition and based on current data, would be £4.951m, an increase of £0.645m. However, in the first year (2018-19) our allocation would be £4.364m, an increase of only £0.058m.</w:t>
      </w:r>
    </w:p>
    <w:p w:rsidR="006D1867" w:rsidP="006D1867" w:rsidRDefault="006D1867">
      <w:pPr>
        <w:rPr>
          <w:rFonts w:cs="Arial"/>
          <w:sz w:val="26"/>
          <w:szCs w:val="26"/>
        </w:rPr>
      </w:pPr>
    </w:p>
    <w:p w:rsidRPr="005B432E" w:rsidR="00E07072" w:rsidP="00E07072" w:rsidRDefault="00E07072">
      <w:pPr>
        <w:rPr>
          <w:rFonts w:cs="Arial"/>
          <w:b/>
          <w:sz w:val="26"/>
          <w:szCs w:val="26"/>
        </w:rPr>
      </w:pPr>
      <w:r w:rsidRPr="005B432E">
        <w:rPr>
          <w:rFonts w:cs="Arial"/>
          <w:b/>
          <w:sz w:val="26"/>
          <w:szCs w:val="26"/>
        </w:rPr>
        <w:t>2.</w:t>
      </w:r>
      <w:r>
        <w:rPr>
          <w:rFonts w:cs="Arial"/>
          <w:b/>
          <w:sz w:val="26"/>
          <w:szCs w:val="26"/>
        </w:rPr>
        <w:t>5</w:t>
      </w:r>
      <w:r w:rsidRPr="005B432E">
        <w:rPr>
          <w:rFonts w:cs="Arial"/>
          <w:b/>
          <w:sz w:val="26"/>
          <w:szCs w:val="26"/>
        </w:rPr>
        <w:tab/>
      </w:r>
      <w:r w:rsidRPr="00C451C1">
        <w:rPr>
          <w:rFonts w:cs="Arial"/>
          <w:b/>
          <w:sz w:val="26"/>
          <w:szCs w:val="26"/>
          <w:u w:val="single"/>
        </w:rPr>
        <w:t>Consultation questions</w:t>
      </w:r>
    </w:p>
    <w:p w:rsidR="00E07072" w:rsidP="00E07072" w:rsidRDefault="00E07072">
      <w:pPr>
        <w:rPr>
          <w:rFonts w:cs="Arial"/>
          <w:sz w:val="26"/>
          <w:szCs w:val="26"/>
        </w:rPr>
      </w:pPr>
    </w:p>
    <w:p w:rsidR="00E07072" w:rsidP="00E07072" w:rsidRDefault="00E07072">
      <w:pPr>
        <w:rPr>
          <w:rFonts w:cs="Arial"/>
          <w:sz w:val="26"/>
          <w:szCs w:val="26"/>
        </w:rPr>
      </w:pPr>
      <w:r>
        <w:rPr>
          <w:rFonts w:cs="Arial"/>
          <w:sz w:val="26"/>
          <w:szCs w:val="26"/>
        </w:rPr>
        <w:t>The consultation document itself poses 18 questions, these are provided at Appendix 2 for information and a draft response will be available for consideration at the School Forum’s next meeting on 9</w:t>
      </w:r>
      <w:r w:rsidRPr="005B432E">
        <w:rPr>
          <w:rFonts w:cs="Arial"/>
          <w:sz w:val="26"/>
          <w:szCs w:val="26"/>
          <w:vertAlign w:val="superscript"/>
        </w:rPr>
        <w:t>th</w:t>
      </w:r>
      <w:r>
        <w:rPr>
          <w:rFonts w:cs="Arial"/>
          <w:sz w:val="26"/>
          <w:szCs w:val="26"/>
        </w:rPr>
        <w:t xml:space="preserve"> February 2017.</w:t>
      </w:r>
    </w:p>
    <w:p w:rsidR="00E07072" w:rsidP="006D1867" w:rsidRDefault="00E07072">
      <w:pPr>
        <w:rPr>
          <w:rFonts w:cs="Arial"/>
          <w:sz w:val="26"/>
          <w:szCs w:val="26"/>
        </w:rPr>
      </w:pPr>
    </w:p>
    <w:p w:rsidR="007E168A" w:rsidP="007E168A" w:rsidRDefault="007E168A">
      <w:pPr>
        <w:rPr>
          <w:rFonts w:cs="Arial"/>
          <w:b/>
          <w:sz w:val="26"/>
          <w:szCs w:val="26"/>
          <w:u w:val="single"/>
        </w:rPr>
      </w:pPr>
      <w:r>
        <w:rPr>
          <w:rFonts w:cs="Arial"/>
          <w:b/>
          <w:sz w:val="26"/>
          <w:szCs w:val="26"/>
        </w:rPr>
        <w:t>3.</w:t>
      </w:r>
      <w:r w:rsidRPr="0031193E">
        <w:rPr>
          <w:rFonts w:cs="Arial"/>
          <w:b/>
          <w:sz w:val="26"/>
          <w:szCs w:val="26"/>
        </w:rPr>
        <w:t xml:space="preserve"> </w:t>
      </w:r>
      <w:r w:rsidRPr="0031193E">
        <w:rPr>
          <w:rFonts w:cs="Arial"/>
          <w:b/>
          <w:sz w:val="26"/>
          <w:szCs w:val="26"/>
        </w:rPr>
        <w:tab/>
      </w:r>
      <w:r>
        <w:rPr>
          <w:rFonts w:cs="Arial"/>
          <w:b/>
          <w:sz w:val="26"/>
          <w:szCs w:val="26"/>
          <w:u w:val="single"/>
        </w:rPr>
        <w:t xml:space="preserve">Other </w:t>
      </w:r>
      <w:r w:rsidRPr="005D4C96">
        <w:rPr>
          <w:rFonts w:cs="Arial"/>
          <w:b/>
          <w:sz w:val="26"/>
          <w:szCs w:val="26"/>
          <w:u w:val="single"/>
        </w:rPr>
        <w:t>Considerations</w:t>
      </w:r>
    </w:p>
    <w:p w:rsidRPr="002C5C84" w:rsidR="007E168A" w:rsidP="007E168A" w:rsidRDefault="007E168A">
      <w:pPr>
        <w:ind w:left="284"/>
        <w:jc w:val="both"/>
        <w:rPr>
          <w:rFonts w:cs="Arial"/>
          <w:sz w:val="22"/>
          <w:szCs w:val="26"/>
        </w:rPr>
      </w:pPr>
    </w:p>
    <w:p w:rsidRPr="005D4C96" w:rsidR="007E168A" w:rsidP="007E168A" w:rsidRDefault="007E168A">
      <w:pPr>
        <w:rPr>
          <w:rFonts w:cs="Arial"/>
          <w:sz w:val="26"/>
          <w:szCs w:val="26"/>
        </w:rPr>
      </w:pPr>
      <w:r w:rsidRPr="005D4C96">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007E168A" w:rsidP="007E168A" w:rsidRDefault="007E168A">
      <w:pPr>
        <w:rPr>
          <w:rFonts w:cs="Arial"/>
          <w:b/>
          <w:sz w:val="26"/>
          <w:szCs w:val="26"/>
        </w:rPr>
      </w:pPr>
    </w:p>
    <w:p w:rsidRPr="00261E9C" w:rsidR="004D2DD2" w:rsidP="007E168A" w:rsidRDefault="004D2DD2">
      <w:pPr>
        <w:rPr>
          <w:rFonts w:cs="Arial"/>
          <w:b/>
          <w:sz w:val="26"/>
          <w:szCs w:val="26"/>
        </w:rPr>
      </w:pPr>
    </w:p>
    <w:p w:rsidR="007E168A" w:rsidP="007E168A" w:rsidRDefault="007E168A">
      <w:pPr>
        <w:rPr>
          <w:rFonts w:cs="Arial"/>
          <w:b/>
          <w:sz w:val="26"/>
          <w:szCs w:val="26"/>
        </w:rPr>
      </w:pPr>
    </w:p>
    <w:p w:rsidRPr="00826324" w:rsidR="007E168A" w:rsidP="007E168A" w:rsidRDefault="007E168A">
      <w:pPr>
        <w:rPr>
          <w:rFonts w:cs="Arial"/>
          <w:b/>
          <w:sz w:val="26"/>
          <w:szCs w:val="26"/>
          <w:u w:val="single"/>
        </w:rPr>
      </w:pPr>
      <w:r>
        <w:rPr>
          <w:rFonts w:cs="Arial"/>
          <w:b/>
          <w:sz w:val="26"/>
          <w:szCs w:val="26"/>
        </w:rPr>
        <w:t>4.</w:t>
      </w:r>
      <w:r w:rsidRPr="00826324">
        <w:rPr>
          <w:rFonts w:cs="Arial"/>
          <w:b/>
          <w:sz w:val="26"/>
          <w:szCs w:val="26"/>
        </w:rPr>
        <w:tab/>
      </w:r>
      <w:r>
        <w:rPr>
          <w:rFonts w:cs="Arial"/>
          <w:b/>
          <w:sz w:val="26"/>
          <w:szCs w:val="26"/>
          <w:u w:val="single"/>
        </w:rPr>
        <w:t>Strategic Director’s Recommendations</w:t>
      </w:r>
    </w:p>
    <w:p w:rsidRPr="00C85E30" w:rsidR="007E168A" w:rsidP="007E168A" w:rsidRDefault="007E168A">
      <w:pPr>
        <w:ind w:left="709" w:hanging="709"/>
        <w:rPr>
          <w:rFonts w:cs="Arial"/>
          <w:sz w:val="26"/>
          <w:szCs w:val="26"/>
        </w:rPr>
      </w:pPr>
    </w:p>
    <w:p w:rsidR="007E168A" w:rsidP="007E168A" w:rsidRDefault="007E168A">
      <w:pPr>
        <w:rPr>
          <w:rFonts w:cs="Arial"/>
          <w:sz w:val="26"/>
          <w:szCs w:val="26"/>
        </w:rPr>
      </w:pPr>
      <w:r>
        <w:rPr>
          <w:rFonts w:cs="Arial"/>
          <w:sz w:val="26"/>
          <w:szCs w:val="26"/>
        </w:rPr>
        <w:t>The Schools Forum is asked to:</w:t>
      </w:r>
    </w:p>
    <w:p w:rsidR="007E168A" w:rsidP="007E168A" w:rsidRDefault="007E168A">
      <w:pPr>
        <w:rPr>
          <w:rFonts w:cs="Arial"/>
          <w:sz w:val="26"/>
          <w:szCs w:val="26"/>
        </w:rPr>
      </w:pPr>
    </w:p>
    <w:p w:rsidR="007E168A" w:rsidP="007E168A" w:rsidRDefault="007E168A">
      <w:pPr>
        <w:pStyle w:val="ListParagraph"/>
        <w:numPr>
          <w:ilvl w:val="0"/>
          <w:numId w:val="49"/>
        </w:numPr>
        <w:rPr>
          <w:rFonts w:cs="Arial"/>
          <w:sz w:val="26"/>
          <w:szCs w:val="26"/>
        </w:rPr>
      </w:pPr>
      <w:r w:rsidRPr="007E168A">
        <w:rPr>
          <w:rFonts w:cs="Arial"/>
          <w:sz w:val="26"/>
          <w:szCs w:val="26"/>
        </w:rPr>
        <w:t>note the report</w:t>
      </w:r>
      <w:r>
        <w:rPr>
          <w:rFonts w:cs="Arial"/>
          <w:sz w:val="26"/>
          <w:szCs w:val="26"/>
        </w:rPr>
        <w:t>; and</w:t>
      </w:r>
    </w:p>
    <w:p w:rsidRPr="007E168A" w:rsidR="007E168A" w:rsidP="007E168A" w:rsidRDefault="007E168A">
      <w:pPr>
        <w:pStyle w:val="ListParagraph"/>
        <w:numPr>
          <w:ilvl w:val="0"/>
          <w:numId w:val="49"/>
        </w:numPr>
        <w:rPr>
          <w:rFonts w:cs="Arial"/>
          <w:sz w:val="26"/>
          <w:szCs w:val="26"/>
        </w:rPr>
      </w:pPr>
      <w:proofErr w:type="gramStart"/>
      <w:r>
        <w:rPr>
          <w:rFonts w:cs="Arial"/>
          <w:sz w:val="26"/>
          <w:szCs w:val="26"/>
        </w:rPr>
        <w:t>agree</w:t>
      </w:r>
      <w:proofErr w:type="gramEnd"/>
      <w:r>
        <w:rPr>
          <w:rFonts w:cs="Arial"/>
          <w:sz w:val="26"/>
          <w:szCs w:val="26"/>
        </w:rPr>
        <w:t xml:space="preserve"> that a further report, including a draft response to the consultation, will be considered at the Forum’s next meeting in February.</w:t>
      </w:r>
    </w:p>
    <w:p w:rsidRPr="006D1867" w:rsidR="006D1867" w:rsidP="0039367C" w:rsidRDefault="006D1867">
      <w:pPr>
        <w:rPr>
          <w:rFonts w:cs="Arial"/>
          <w:sz w:val="26"/>
          <w:szCs w:val="26"/>
        </w:rPr>
      </w:pPr>
    </w:p>
    <w:p w:rsidR="0039367C" w:rsidP="0039367C" w:rsidRDefault="0039367C">
      <w:pPr>
        <w:rPr>
          <w:rFonts w:cs="Arial"/>
          <w:sz w:val="26"/>
          <w:szCs w:val="26"/>
        </w:rPr>
      </w:pPr>
    </w:p>
    <w:p w:rsidRPr="00C85E30" w:rsidR="00CF160D" w:rsidP="00CF160D" w:rsidRDefault="00CF160D">
      <w:pPr>
        <w:ind w:left="709"/>
        <w:jc w:val="center"/>
        <w:rPr>
          <w:rFonts w:cs="Arial"/>
          <w:b/>
          <w:sz w:val="26"/>
          <w:szCs w:val="26"/>
        </w:rPr>
      </w:pPr>
      <w:r w:rsidRPr="00C85E30">
        <w:rPr>
          <w:rFonts w:cs="Arial"/>
          <w:b/>
          <w:sz w:val="26"/>
          <w:szCs w:val="26"/>
        </w:rPr>
        <w:t>JANE PARFREMENT</w:t>
      </w:r>
    </w:p>
    <w:p w:rsidR="00C151E3" w:rsidP="00CF160D" w:rsidRDefault="00CF160D">
      <w:pPr>
        <w:ind w:left="709"/>
        <w:jc w:val="center"/>
        <w:rPr>
          <w:rFonts w:cs="Arial"/>
          <w:b/>
          <w:sz w:val="26"/>
          <w:szCs w:val="26"/>
        </w:rPr>
      </w:pPr>
      <w:r w:rsidRPr="00C85E30">
        <w:rPr>
          <w:rFonts w:cs="Arial"/>
          <w:b/>
          <w:sz w:val="26"/>
          <w:szCs w:val="26"/>
        </w:rPr>
        <w:t>Strategic Director for Children’s Services</w:t>
      </w:r>
    </w:p>
    <w:p w:rsidRPr="00C85E30" w:rsidR="00CF160D" w:rsidP="00CF160D" w:rsidRDefault="00CF160D">
      <w:pPr>
        <w:ind w:left="709"/>
        <w:jc w:val="center"/>
        <w:rPr>
          <w:rFonts w:cs="Arial"/>
          <w:b/>
          <w:sz w:val="26"/>
          <w:szCs w:val="26"/>
        </w:rPr>
      </w:pPr>
    </w:p>
    <w:p w:rsidRPr="0039367C" w:rsidR="00CF160D" w:rsidP="0039367C" w:rsidRDefault="00C151E3">
      <w:pPr>
        <w:rPr>
          <w:rFonts w:cs="Arial"/>
          <w:sz w:val="26"/>
          <w:szCs w:val="26"/>
        </w:rPr>
        <w:sectPr w:rsidRPr="0039367C" w:rsidR="00CF160D" w:rsidSect="00B46157">
          <w:footerReference w:type="default" r:id="rId11"/>
          <w:pgSz w:w="11906" w:h="16838"/>
          <w:pgMar w:top="709" w:right="991" w:bottom="851" w:left="1134" w:header="709" w:footer="127" w:gutter="0"/>
          <w:cols w:space="708"/>
          <w:docGrid w:linePitch="360"/>
        </w:sectPr>
      </w:pPr>
      <w:r>
        <w:rPr>
          <w:rFonts w:cs="Arial"/>
          <w:sz w:val="26"/>
          <w:szCs w:val="26"/>
        </w:rPr>
        <w:br w:type="page"/>
      </w:r>
    </w:p>
    <w:p w:rsidR="0009580B" w:rsidP="00B0421F" w:rsidRDefault="00847CEB">
      <w:pPr>
        <w:tabs>
          <w:tab w:val="left" w:pos="13325"/>
        </w:tabs>
        <w:rPr>
          <w:rFonts w:cs="Arial"/>
          <w:sz w:val="26"/>
          <w:szCs w:val="26"/>
        </w:rPr>
      </w:pPr>
      <w:r w:rsidRPr="0037077E">
        <w:rPr>
          <w:rFonts w:cs="Arial"/>
          <w:b/>
          <w:sz w:val="26"/>
          <w:szCs w:val="26"/>
          <w:u w:val="single"/>
        </w:rPr>
        <w:t xml:space="preserve">Summary of changes in funding – in </w:t>
      </w:r>
      <w:r w:rsidRPr="0037077E" w:rsidR="0037077E">
        <w:rPr>
          <w:rFonts w:cs="Arial"/>
          <w:b/>
          <w:sz w:val="26"/>
          <w:szCs w:val="26"/>
          <w:u w:val="single"/>
        </w:rPr>
        <w:t xml:space="preserve">order of ascending % </w:t>
      </w:r>
      <w:r w:rsidRPr="0037077E">
        <w:rPr>
          <w:rFonts w:cs="Arial"/>
          <w:b/>
          <w:sz w:val="26"/>
          <w:szCs w:val="26"/>
          <w:u w:val="single"/>
        </w:rPr>
        <w:t>gain</w:t>
      </w:r>
      <w:r w:rsidRPr="0037077E" w:rsidR="0037077E">
        <w:rPr>
          <w:rFonts w:cs="Arial"/>
          <w:b/>
          <w:sz w:val="26"/>
          <w:szCs w:val="26"/>
          <w:u w:val="single"/>
        </w:rPr>
        <w:t>/</w:t>
      </w:r>
      <w:r w:rsidRPr="0037077E">
        <w:rPr>
          <w:rFonts w:cs="Arial"/>
          <w:b/>
          <w:sz w:val="26"/>
          <w:szCs w:val="26"/>
          <w:u w:val="single"/>
        </w:rPr>
        <w:t>loss</w:t>
      </w:r>
      <w:r>
        <w:rPr>
          <w:rFonts w:cs="Arial"/>
          <w:sz w:val="26"/>
          <w:szCs w:val="26"/>
        </w:rPr>
        <w:tab/>
      </w:r>
      <w:r w:rsidRPr="0037077E">
        <w:rPr>
          <w:rFonts w:cs="Arial"/>
          <w:b/>
          <w:sz w:val="26"/>
          <w:szCs w:val="26"/>
          <w:u w:val="single"/>
        </w:rPr>
        <w:t>Appendix 1</w:t>
      </w:r>
    </w:p>
    <w:p w:rsidR="00847CEB" w:rsidP="00B0421F" w:rsidRDefault="00847CEB">
      <w:pPr>
        <w:tabs>
          <w:tab w:val="left" w:pos="13325"/>
        </w:tabs>
        <w:rPr>
          <w:rFonts w:cs="Arial"/>
          <w:sz w:val="26"/>
          <w:szCs w:val="26"/>
        </w:rPr>
      </w:pPr>
    </w:p>
    <w:p w:rsidR="00847CEB" w:rsidP="00B0421F" w:rsidRDefault="00464A02">
      <w:pPr>
        <w:tabs>
          <w:tab w:val="left" w:pos="13325"/>
        </w:tabs>
        <w:rPr>
          <w:rFonts w:cs="Arial"/>
          <w:sz w:val="26"/>
          <w:szCs w:val="26"/>
        </w:rPr>
      </w:pPr>
      <w:r w:rsidRPr="00464A02">
        <w:rPr>
          <w:noProof/>
          <w:lang w:eastAsia="en-GB"/>
        </w:rPr>
        <w:drawing>
          <wp:inline distT="0" distB="0" distL="0" distR="0" wp14:anchorId="77EB6C75" wp14:editId="1DACAE61">
            <wp:extent cx="10077450" cy="6000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85800" cy="6005722"/>
                    </a:xfrm>
                    <a:prstGeom prst="rect">
                      <a:avLst/>
                    </a:prstGeom>
                    <a:noFill/>
                    <a:ln>
                      <a:noFill/>
                    </a:ln>
                  </pic:spPr>
                </pic:pic>
              </a:graphicData>
            </a:graphic>
          </wp:inline>
        </w:drawing>
      </w:r>
    </w:p>
    <w:p w:rsidR="00847CEB" w:rsidP="00B0421F" w:rsidRDefault="00464A02">
      <w:pPr>
        <w:tabs>
          <w:tab w:val="left" w:pos="13325"/>
        </w:tabs>
        <w:rPr>
          <w:rFonts w:cs="Arial"/>
          <w:sz w:val="26"/>
          <w:szCs w:val="26"/>
        </w:rPr>
      </w:pPr>
      <w:r w:rsidRPr="00464A02">
        <w:rPr>
          <w:noProof/>
          <w:lang w:eastAsia="en-GB"/>
        </w:rPr>
        <w:drawing>
          <wp:inline distT="0" distB="0" distL="0" distR="0" wp14:anchorId="40E390F9" wp14:editId="753D6A09">
            <wp:extent cx="10058400" cy="6343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66734" cy="6348906"/>
                    </a:xfrm>
                    <a:prstGeom prst="rect">
                      <a:avLst/>
                    </a:prstGeom>
                    <a:noFill/>
                    <a:ln>
                      <a:noFill/>
                    </a:ln>
                  </pic:spPr>
                </pic:pic>
              </a:graphicData>
            </a:graphic>
          </wp:inline>
        </w:drawing>
      </w:r>
    </w:p>
    <w:p w:rsidR="00847CEB" w:rsidP="00B0421F" w:rsidRDefault="00464A02">
      <w:pPr>
        <w:tabs>
          <w:tab w:val="left" w:pos="13325"/>
        </w:tabs>
      </w:pPr>
      <w:r w:rsidRPr="00464A02">
        <w:rPr>
          <w:noProof/>
          <w:lang w:eastAsia="en-GB"/>
        </w:rPr>
        <w:drawing>
          <wp:inline distT="0" distB="0" distL="0" distR="0" wp14:anchorId="3C2C8B6C" wp14:editId="13ED8B13">
            <wp:extent cx="10096500" cy="6324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08623" cy="6332194"/>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3C6D9251" wp14:editId="529308FD">
            <wp:extent cx="10077450" cy="6191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85800" cy="6196380"/>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p>
    <w:p w:rsidR="00464A02" w:rsidP="00B0421F" w:rsidRDefault="00464A02">
      <w:pPr>
        <w:tabs>
          <w:tab w:val="left" w:pos="13325"/>
        </w:tabs>
        <w:rPr>
          <w:rFonts w:cs="Arial"/>
          <w:sz w:val="26"/>
          <w:szCs w:val="26"/>
        </w:rPr>
      </w:pPr>
      <w:r w:rsidRPr="00464A02">
        <w:rPr>
          <w:noProof/>
          <w:lang w:eastAsia="en-GB"/>
        </w:rPr>
        <w:drawing>
          <wp:inline distT="0" distB="0" distL="0" distR="0" wp14:anchorId="3CD3D0DE" wp14:editId="2500BA7A">
            <wp:extent cx="10072048" cy="6305265"/>
            <wp:effectExtent l="0" t="0" r="571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85800" cy="6313874"/>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24DB2417" wp14:editId="0604552F">
            <wp:extent cx="10096500" cy="6362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104866" cy="6367972"/>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7D045B0E" wp14:editId="2B262644">
            <wp:extent cx="10085695" cy="6359857"/>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94341" cy="6365309"/>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2F6C2BB4" wp14:editId="63D55F92">
            <wp:extent cx="10112991" cy="6346209"/>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12721" cy="6346040"/>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44CB339B" wp14:editId="4287A590">
            <wp:extent cx="10072048" cy="6332561"/>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071780" cy="6332393"/>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6FF85359" wp14:editId="24A278D1">
            <wp:extent cx="10085695" cy="630526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85427" cy="6305098"/>
                    </a:xfrm>
                    <a:prstGeom prst="rect">
                      <a:avLst/>
                    </a:prstGeom>
                    <a:noFill/>
                    <a:ln>
                      <a:noFill/>
                    </a:ln>
                  </pic:spPr>
                </pic:pic>
              </a:graphicData>
            </a:graphic>
          </wp:inline>
        </w:drawing>
      </w:r>
    </w:p>
    <w:p w:rsidR="00464A02" w:rsidP="00B0421F" w:rsidRDefault="00464A02">
      <w:pPr>
        <w:tabs>
          <w:tab w:val="left" w:pos="13325"/>
        </w:tabs>
        <w:rPr>
          <w:rFonts w:cs="Arial"/>
          <w:sz w:val="26"/>
          <w:szCs w:val="26"/>
        </w:rPr>
      </w:pPr>
      <w:r w:rsidRPr="00464A02">
        <w:rPr>
          <w:noProof/>
          <w:lang w:eastAsia="en-GB"/>
        </w:rPr>
        <w:drawing>
          <wp:inline distT="0" distB="0" distL="0" distR="0" wp14:anchorId="0080B028" wp14:editId="63F29A4A">
            <wp:extent cx="10085695" cy="629161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085427" cy="6291451"/>
                    </a:xfrm>
                    <a:prstGeom prst="rect">
                      <a:avLst/>
                    </a:prstGeom>
                    <a:noFill/>
                    <a:ln>
                      <a:noFill/>
                    </a:ln>
                  </pic:spPr>
                </pic:pic>
              </a:graphicData>
            </a:graphic>
          </wp:inline>
        </w:drawing>
      </w:r>
    </w:p>
    <w:p w:rsidR="00464A02" w:rsidP="00B0421F" w:rsidRDefault="0025073A">
      <w:pPr>
        <w:tabs>
          <w:tab w:val="left" w:pos="13325"/>
        </w:tabs>
        <w:rPr>
          <w:rFonts w:cs="Arial"/>
          <w:sz w:val="26"/>
          <w:szCs w:val="26"/>
        </w:rPr>
      </w:pPr>
      <w:r w:rsidRPr="0025073A">
        <w:rPr>
          <w:noProof/>
          <w:lang w:eastAsia="en-GB"/>
        </w:rPr>
        <w:drawing>
          <wp:inline distT="0" distB="0" distL="0" distR="0" wp14:anchorId="042E336E" wp14:editId="7B77C8CA">
            <wp:extent cx="10072048" cy="6346209"/>
            <wp:effectExtent l="0" t="0" r="571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071780" cy="6346040"/>
                    </a:xfrm>
                    <a:prstGeom prst="rect">
                      <a:avLst/>
                    </a:prstGeom>
                    <a:noFill/>
                    <a:ln>
                      <a:noFill/>
                    </a:ln>
                  </pic:spPr>
                </pic:pic>
              </a:graphicData>
            </a:graphic>
          </wp:inline>
        </w:drawing>
      </w:r>
    </w:p>
    <w:p w:rsidR="0025073A" w:rsidP="00B0421F" w:rsidRDefault="0025073A">
      <w:pPr>
        <w:tabs>
          <w:tab w:val="left" w:pos="13325"/>
        </w:tabs>
        <w:rPr>
          <w:rFonts w:cs="Arial"/>
          <w:sz w:val="26"/>
          <w:szCs w:val="26"/>
        </w:rPr>
      </w:pPr>
      <w:r w:rsidRPr="0025073A">
        <w:rPr>
          <w:noProof/>
          <w:lang w:eastAsia="en-GB"/>
        </w:rPr>
        <w:drawing>
          <wp:inline distT="0" distB="0" distL="0" distR="0" wp14:anchorId="489347FE" wp14:editId="553DB57C">
            <wp:extent cx="10058400" cy="6262802"/>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067022" cy="6268170"/>
                    </a:xfrm>
                    <a:prstGeom prst="rect">
                      <a:avLst/>
                    </a:prstGeom>
                    <a:noFill/>
                    <a:ln>
                      <a:noFill/>
                    </a:ln>
                  </pic:spPr>
                </pic:pic>
              </a:graphicData>
            </a:graphic>
          </wp:inline>
        </w:drawing>
      </w:r>
    </w:p>
    <w:p w:rsidR="0025073A" w:rsidP="00B0421F" w:rsidRDefault="0025073A">
      <w:pPr>
        <w:tabs>
          <w:tab w:val="left" w:pos="13325"/>
        </w:tabs>
        <w:rPr>
          <w:rFonts w:cs="Arial"/>
          <w:sz w:val="26"/>
          <w:szCs w:val="26"/>
        </w:rPr>
      </w:pPr>
      <w:r w:rsidRPr="0025073A">
        <w:rPr>
          <w:noProof/>
          <w:lang w:eastAsia="en-GB"/>
        </w:rPr>
        <w:drawing>
          <wp:inline distT="0" distB="0" distL="0" distR="0" wp14:anchorId="59D739E3" wp14:editId="30D4B22D">
            <wp:extent cx="10072048" cy="6237027"/>
            <wp:effectExtent l="0" t="0" r="571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070771" cy="6236236"/>
                    </a:xfrm>
                    <a:prstGeom prst="rect">
                      <a:avLst/>
                    </a:prstGeom>
                    <a:noFill/>
                    <a:ln>
                      <a:noFill/>
                    </a:ln>
                  </pic:spPr>
                </pic:pic>
              </a:graphicData>
            </a:graphic>
          </wp:inline>
        </w:drawing>
      </w:r>
    </w:p>
    <w:p w:rsidR="0025073A" w:rsidP="00B0421F" w:rsidRDefault="0025073A">
      <w:pPr>
        <w:tabs>
          <w:tab w:val="left" w:pos="13325"/>
        </w:tabs>
        <w:rPr>
          <w:rFonts w:cs="Arial"/>
          <w:sz w:val="26"/>
          <w:szCs w:val="26"/>
        </w:rPr>
      </w:pPr>
      <w:r w:rsidRPr="0025073A">
        <w:rPr>
          <w:noProof/>
          <w:lang w:eastAsia="en-GB"/>
        </w:rPr>
        <w:drawing>
          <wp:inline distT="0" distB="0" distL="0" distR="0" wp14:anchorId="3A6B5447" wp14:editId="428D0202">
            <wp:extent cx="10085695" cy="625067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085427" cy="6250508"/>
                    </a:xfrm>
                    <a:prstGeom prst="rect">
                      <a:avLst/>
                    </a:prstGeom>
                    <a:noFill/>
                    <a:ln>
                      <a:noFill/>
                    </a:ln>
                  </pic:spPr>
                </pic:pic>
              </a:graphicData>
            </a:graphic>
          </wp:inline>
        </w:drawing>
      </w:r>
    </w:p>
    <w:p w:rsidR="0025073A" w:rsidP="00B0421F" w:rsidRDefault="0037077E">
      <w:pPr>
        <w:tabs>
          <w:tab w:val="left" w:pos="13325"/>
        </w:tabs>
      </w:pPr>
      <w:r w:rsidRPr="0025073A">
        <w:rPr>
          <w:noProof/>
          <w:lang w:eastAsia="en-GB"/>
        </w:rPr>
        <w:drawing>
          <wp:inline distT="0" distB="0" distL="0" distR="0" wp14:anchorId="3022FDC3" wp14:editId="496DFCCD">
            <wp:extent cx="9971405" cy="5497314"/>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71405" cy="5497314"/>
                    </a:xfrm>
                    <a:prstGeom prst="rect">
                      <a:avLst/>
                    </a:prstGeom>
                    <a:noFill/>
                    <a:ln>
                      <a:noFill/>
                    </a:ln>
                  </pic:spPr>
                </pic:pic>
              </a:graphicData>
            </a:graphic>
          </wp:inline>
        </w:drawing>
      </w:r>
    </w:p>
    <w:p w:rsidR="0037077E" w:rsidP="00B0421F" w:rsidRDefault="0037077E">
      <w:pPr>
        <w:tabs>
          <w:tab w:val="left" w:pos="13325"/>
        </w:tabs>
      </w:pPr>
    </w:p>
    <w:p w:rsidR="0037077E" w:rsidP="00B0421F" w:rsidRDefault="0037077E">
      <w:pPr>
        <w:tabs>
          <w:tab w:val="left" w:pos="13325"/>
        </w:tabs>
        <w:rPr>
          <w:rFonts w:cs="Arial"/>
          <w:sz w:val="26"/>
          <w:szCs w:val="26"/>
        </w:rPr>
        <w:sectPr w:rsidR="0037077E" w:rsidSect="00464A02">
          <w:pgSz w:w="16838" w:h="11906" w:orient="landscape"/>
          <w:pgMar w:top="567" w:right="568" w:bottom="1276" w:left="567" w:header="708" w:footer="708" w:gutter="0"/>
          <w:cols w:space="708"/>
          <w:docGrid w:linePitch="360"/>
        </w:sectPr>
      </w:pPr>
    </w:p>
    <w:p w:rsidRPr="0037077E" w:rsidR="0037077E" w:rsidP="00B0421F" w:rsidRDefault="0037077E">
      <w:pPr>
        <w:tabs>
          <w:tab w:val="left" w:pos="13325"/>
        </w:tabs>
        <w:rPr>
          <w:rFonts w:cs="Arial"/>
          <w:b/>
          <w:sz w:val="26"/>
          <w:szCs w:val="26"/>
          <w:u w:val="single"/>
        </w:rPr>
      </w:pPr>
      <w:r w:rsidRPr="0037077E">
        <w:rPr>
          <w:rFonts w:cs="Arial"/>
          <w:b/>
          <w:sz w:val="26"/>
          <w:szCs w:val="26"/>
          <w:u w:val="single"/>
        </w:rPr>
        <w:t>National Funding Formula for Mainstream Schools – Consultation questions</w:t>
      </w:r>
      <w:r w:rsidRPr="0037077E">
        <w:rPr>
          <w:rFonts w:cs="Arial"/>
          <w:b/>
          <w:sz w:val="26"/>
          <w:szCs w:val="26"/>
        </w:rPr>
        <w:tab/>
      </w:r>
      <w:r w:rsidRPr="0037077E">
        <w:rPr>
          <w:rFonts w:cs="Arial"/>
          <w:b/>
          <w:sz w:val="26"/>
          <w:szCs w:val="26"/>
          <w:u w:val="single"/>
        </w:rPr>
        <w:t>Appendix 2</w:t>
      </w:r>
    </w:p>
    <w:p w:rsidR="0037077E" w:rsidP="00B0421F" w:rsidRDefault="0037077E">
      <w:pPr>
        <w:tabs>
          <w:tab w:val="left" w:pos="13325"/>
        </w:tabs>
        <w:rPr>
          <w:rFonts w:cs="Arial"/>
          <w:sz w:val="26"/>
          <w:szCs w:val="26"/>
        </w:rPr>
      </w:pPr>
    </w:p>
    <w:tbl>
      <w:tblPr>
        <w:tblStyle w:val="TableGrid"/>
        <w:tblW w:w="0" w:type="auto"/>
        <w:tblInd w:w="675" w:type="dxa"/>
        <w:tblLook w:val="04A0" w:firstRow="1" w:lastRow="0" w:firstColumn="1" w:lastColumn="0" w:noHBand="0" w:noVBand="1"/>
      </w:tblPr>
      <w:tblGrid>
        <w:gridCol w:w="709"/>
        <w:gridCol w:w="13783"/>
      </w:tblGrid>
      <w:tr w:rsidR="0037077E" w:rsidTr="00BD6488">
        <w:tc>
          <w:tcPr>
            <w:tcW w:w="709" w:type="dxa"/>
          </w:tcPr>
          <w:p w:rsidRPr="0037077E" w:rsidR="0037077E" w:rsidP="00BD6488" w:rsidRDefault="0037077E">
            <w:pPr>
              <w:tabs>
                <w:tab w:val="left" w:pos="13325"/>
              </w:tabs>
              <w:jc w:val="center"/>
              <w:rPr>
                <w:rFonts w:ascii="Arial" w:hAnsi="Arial" w:cs="Arial"/>
                <w:sz w:val="24"/>
                <w:szCs w:val="24"/>
              </w:rPr>
            </w:pPr>
            <w:r w:rsidRPr="0037077E">
              <w:rPr>
                <w:rFonts w:ascii="Arial" w:hAnsi="Arial" w:cs="Arial"/>
                <w:sz w:val="24"/>
                <w:szCs w:val="24"/>
              </w:rPr>
              <w:t>No.</w:t>
            </w:r>
          </w:p>
        </w:tc>
        <w:tc>
          <w:tcPr>
            <w:tcW w:w="13783" w:type="dxa"/>
          </w:tcPr>
          <w:p w:rsidRPr="0037077E" w:rsidR="0037077E" w:rsidP="00B0421F" w:rsidRDefault="0037077E">
            <w:pPr>
              <w:tabs>
                <w:tab w:val="left" w:pos="13325"/>
              </w:tabs>
              <w:rPr>
                <w:rFonts w:ascii="Arial" w:hAnsi="Arial" w:cs="Arial"/>
                <w:sz w:val="24"/>
                <w:szCs w:val="24"/>
              </w:rPr>
            </w:pPr>
            <w:r w:rsidRPr="0037077E">
              <w:rPr>
                <w:rFonts w:ascii="Arial" w:hAnsi="Arial" w:cs="Arial"/>
                <w:sz w:val="24"/>
                <w:szCs w:val="24"/>
              </w:rPr>
              <w:t>Question</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In designing our national funding formula, we have taken careful steps to balance the principles of fairness and stability. Do you think we have struck the right balance?</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2</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support our proposal to set the primary to secondary ratio in line with the current national average of 1:1.29, which means that pupils in the secondary phase are funded overall 29% higher than pupils in the primary phase?</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3</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support our proposal to maximise pupil-led funding, so that more funding is allocated to factors that relate directly to pupils and their characteristics?</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4</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Within the total pupil-led funding, do you support our proposal to increase the proportion allocated to the additional needs factors (deprivation, low prior attainment and English as an additional language)?</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5</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with the proposed weightings for each of the additional needs factors?</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6</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have any suggestions about potential indicators and data sources we could use to allocate mobility funding in 2019-20 and beyond?</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7</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with the proposed lump sum amount of £110,000 for all schools?</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8</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with the proposed amounts for sparsity funding of up to £25,000 for primary schools and up to £65,000 for secondary, middle and all-through schools?</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9</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that lagged pupil growth data would provide an effective basis for the growth factor in the longer term?</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10</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with the principle of a funding floor that would protect schools from large overall reductions as a result of this formula? This would be in addition to the minimum funding guarantee.</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11</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support our proposal to set the floor at minus 3%, which will mean that no school will lose more than 3% of their current per-pupil funding level as a result of this formula?</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12</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that for new or growing schools the funding floor should be applied to the per-pupil funding they would have received if they were at full capacity?</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13</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support our proposal to continue the minimum funding guarantee at minus 1.5% per pupil? This will mean that schools are protected against reductions of more than 1.5% per pupil per year.</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14</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Are there further considerations we should be taking into account about the proposed schools national funding formula?</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15</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Are there further considerations we should be taking into account about the impact of the proposed schools national funding formula?</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16</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agree that we should allocate 10% of funding through a deprivation factor in the central school services block?</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17</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Do you support our proposal to limit reductions on local authorities’ central school services block funding to 2.5% per pupil in 2018-19 and in 2019-20?</w:t>
            </w:r>
          </w:p>
        </w:tc>
      </w:tr>
      <w:tr w:rsidR="0037077E" w:rsidTr="00BD6488">
        <w:trPr>
          <w:trHeight w:val="851" w:hRule="exact"/>
        </w:trPr>
        <w:tc>
          <w:tcPr>
            <w:tcW w:w="709" w:type="dxa"/>
            <w:vAlign w:val="center"/>
          </w:tcPr>
          <w:p w:rsidRPr="0037077E" w:rsidR="0037077E" w:rsidP="0037077E" w:rsidRDefault="0037077E">
            <w:pPr>
              <w:tabs>
                <w:tab w:val="left" w:pos="13325"/>
              </w:tabs>
              <w:jc w:val="center"/>
              <w:rPr>
                <w:rFonts w:ascii="Arial" w:hAnsi="Arial" w:cs="Arial"/>
                <w:sz w:val="24"/>
                <w:szCs w:val="24"/>
              </w:rPr>
            </w:pPr>
            <w:r w:rsidRPr="0037077E">
              <w:rPr>
                <w:rFonts w:ascii="Arial" w:hAnsi="Arial" w:cs="Arial"/>
                <w:sz w:val="24"/>
                <w:szCs w:val="24"/>
              </w:rPr>
              <w:t>18</w:t>
            </w:r>
          </w:p>
        </w:tc>
        <w:tc>
          <w:tcPr>
            <w:tcW w:w="13783" w:type="dxa"/>
            <w:vAlign w:val="center"/>
          </w:tcPr>
          <w:p w:rsidRPr="0037077E" w:rsidR="0037077E" w:rsidP="0037077E" w:rsidRDefault="0037077E">
            <w:pPr>
              <w:pStyle w:val="Default"/>
              <w:rPr>
                <w:rFonts w:ascii="Arial" w:hAnsi="Arial"/>
                <w:sz w:val="24"/>
              </w:rPr>
            </w:pPr>
            <w:r w:rsidRPr="0037077E">
              <w:rPr>
                <w:rFonts w:ascii="Arial" w:hAnsi="Arial"/>
                <w:sz w:val="24"/>
              </w:rPr>
              <w:t>Are there further considerations we should be taking into account about the proposed central school services block formula?</w:t>
            </w:r>
          </w:p>
        </w:tc>
      </w:tr>
    </w:tbl>
    <w:p w:rsidR="0037077E" w:rsidP="00B0421F" w:rsidRDefault="0037077E">
      <w:pPr>
        <w:tabs>
          <w:tab w:val="left" w:pos="13325"/>
        </w:tabs>
        <w:rPr>
          <w:rFonts w:cs="Arial"/>
          <w:sz w:val="26"/>
          <w:szCs w:val="26"/>
        </w:rPr>
      </w:pPr>
    </w:p>
    <w:p w:rsidRPr="0009580B" w:rsidR="0037077E" w:rsidP="00B0421F" w:rsidRDefault="0037077E">
      <w:pPr>
        <w:tabs>
          <w:tab w:val="left" w:pos="13325"/>
        </w:tabs>
        <w:rPr>
          <w:rFonts w:cs="Arial"/>
          <w:sz w:val="26"/>
          <w:szCs w:val="26"/>
        </w:rPr>
      </w:pPr>
    </w:p>
    <w:sectPr w:rsidRPr="0009580B" w:rsidR="0037077E" w:rsidSect="00464A02">
      <w:pgSz w:w="16838" w:h="11906" w:orient="landscape"/>
      <w:pgMar w:top="567" w:right="568" w:bottom="127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EEC" w:rsidRDefault="006A3EEC" w:rsidP="00912B03">
      <w:r>
        <w:separator/>
      </w:r>
    </w:p>
  </w:endnote>
  <w:endnote w:type="continuationSeparator" w:id="0">
    <w:p w:rsidR="006A3EEC" w:rsidRDefault="006A3EEC"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183374"/>
      <w:docPartObj>
        <w:docPartGallery w:val="Page Numbers (Bottom of Page)"/>
        <w:docPartUnique/>
      </w:docPartObj>
    </w:sdtPr>
    <w:sdtEndPr>
      <w:rPr>
        <w:noProof/>
      </w:rPr>
    </w:sdtEndPr>
    <w:sdtContent>
      <w:p w:rsidR="006A3EEC" w:rsidRDefault="006A3EEC">
        <w:pPr>
          <w:pStyle w:val="Footer"/>
          <w:jc w:val="center"/>
        </w:pPr>
        <w:r>
          <w:fldChar w:fldCharType="begin"/>
        </w:r>
        <w:r>
          <w:instrText xml:space="preserve"> PAGE   \* MERGEFORMAT </w:instrText>
        </w:r>
        <w:r>
          <w:fldChar w:fldCharType="separate"/>
        </w:r>
        <w:r w:rsidR="005806B7">
          <w:rPr>
            <w:noProof/>
          </w:rPr>
          <w:t>5</w:t>
        </w:r>
        <w:r>
          <w:rPr>
            <w:noProof/>
          </w:rPr>
          <w:fldChar w:fldCharType="end"/>
        </w:r>
      </w:p>
    </w:sdtContent>
  </w:sdt>
  <w:p w:rsidR="006A3EEC" w:rsidRDefault="006A3E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EEC" w:rsidRDefault="006A3EEC" w:rsidP="00912B03">
      <w:r>
        <w:separator/>
      </w:r>
    </w:p>
  </w:footnote>
  <w:footnote w:type="continuationSeparator" w:id="0">
    <w:p w:rsidR="006A3EEC" w:rsidRDefault="006A3EEC"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0C7E5EF8"/>
    <w:multiLevelType w:val="hybridMultilevel"/>
    <w:tmpl w:val="4FA0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F801CC"/>
    <w:multiLevelType w:val="hybridMultilevel"/>
    <w:tmpl w:val="1CECDEEA"/>
    <w:lvl w:ilvl="0" w:tplc="249CEA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2363D5"/>
    <w:multiLevelType w:val="hybridMultilevel"/>
    <w:tmpl w:val="4E5C7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92D78AB"/>
    <w:multiLevelType w:val="hybridMultilevel"/>
    <w:tmpl w:val="B970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4EF314B"/>
    <w:multiLevelType w:val="hybridMultilevel"/>
    <w:tmpl w:val="FFFC037C"/>
    <w:lvl w:ilvl="0" w:tplc="B882DB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30BD065A"/>
    <w:multiLevelType w:val="hybridMultilevel"/>
    <w:tmpl w:val="A00698E8"/>
    <w:lvl w:ilvl="0" w:tplc="930CA0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4445315"/>
    <w:multiLevelType w:val="hybridMultilevel"/>
    <w:tmpl w:val="664CF7E8"/>
    <w:lvl w:ilvl="0" w:tplc="08090013">
      <w:start w:val="1"/>
      <w:numFmt w:val="upperRoman"/>
      <w:lvlText w:val="%1."/>
      <w:lvlJc w:val="righ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3">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DC4B8C"/>
    <w:multiLevelType w:val="hybridMultilevel"/>
    <w:tmpl w:val="C7127698"/>
    <w:lvl w:ilvl="0" w:tplc="EA846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1B0E1D"/>
    <w:multiLevelType w:val="hybridMultilevel"/>
    <w:tmpl w:val="2C563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2720784"/>
    <w:multiLevelType w:val="hybridMultilevel"/>
    <w:tmpl w:val="1F428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A370447"/>
    <w:multiLevelType w:val="hybridMultilevel"/>
    <w:tmpl w:val="2CD65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5">
    <w:nsid w:val="7C75589F"/>
    <w:multiLevelType w:val="hybridMultilevel"/>
    <w:tmpl w:val="77A8DA70"/>
    <w:lvl w:ilvl="0" w:tplc="29864D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D771BD7"/>
    <w:multiLevelType w:val="hybridMultilevel"/>
    <w:tmpl w:val="A4FA9398"/>
    <w:lvl w:ilvl="0" w:tplc="9852FA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
  </w:num>
  <w:num w:numId="2">
    <w:abstractNumId w:val="36"/>
  </w:num>
  <w:num w:numId="3">
    <w:abstractNumId w:val="10"/>
  </w:num>
  <w:num w:numId="4">
    <w:abstractNumId w:val="1"/>
  </w:num>
  <w:num w:numId="5">
    <w:abstractNumId w:val="40"/>
  </w:num>
  <w:num w:numId="6">
    <w:abstractNumId w:val="48"/>
  </w:num>
  <w:num w:numId="7">
    <w:abstractNumId w:val="32"/>
  </w:num>
  <w:num w:numId="8">
    <w:abstractNumId w:val="31"/>
  </w:num>
  <w:num w:numId="9">
    <w:abstractNumId w:val="35"/>
  </w:num>
  <w:num w:numId="10">
    <w:abstractNumId w:val="2"/>
  </w:num>
  <w:num w:numId="11">
    <w:abstractNumId w:val="39"/>
  </w:num>
  <w:num w:numId="12">
    <w:abstractNumId w:val="42"/>
  </w:num>
  <w:num w:numId="13">
    <w:abstractNumId w:val="13"/>
  </w:num>
  <w:num w:numId="14">
    <w:abstractNumId w:val="28"/>
  </w:num>
  <w:num w:numId="15">
    <w:abstractNumId w:val="24"/>
  </w:num>
  <w:num w:numId="16">
    <w:abstractNumId w:val="44"/>
  </w:num>
  <w:num w:numId="17">
    <w:abstractNumId w:val="26"/>
  </w:num>
  <w:num w:numId="18">
    <w:abstractNumId w:val="18"/>
  </w:num>
  <w:num w:numId="19">
    <w:abstractNumId w:val="15"/>
  </w:num>
  <w:num w:numId="20">
    <w:abstractNumId w:val="23"/>
  </w:num>
  <w:num w:numId="21">
    <w:abstractNumId w:val="9"/>
  </w:num>
  <w:num w:numId="22">
    <w:abstractNumId w:val="46"/>
  </w:num>
  <w:num w:numId="23">
    <w:abstractNumId w:val="12"/>
  </w:num>
  <w:num w:numId="24">
    <w:abstractNumId w:val="30"/>
  </w:num>
  <w:num w:numId="25">
    <w:abstractNumId w:val="29"/>
  </w:num>
  <w:num w:numId="26">
    <w:abstractNumId w:val="43"/>
  </w:num>
  <w:num w:numId="27">
    <w:abstractNumId w:val="41"/>
  </w:num>
  <w:num w:numId="28">
    <w:abstractNumId w:val="5"/>
  </w:num>
  <w:num w:numId="29">
    <w:abstractNumId w:val="7"/>
  </w:num>
  <w:num w:numId="30">
    <w:abstractNumId w:val="0"/>
  </w:num>
  <w:num w:numId="31">
    <w:abstractNumId w:val="37"/>
  </w:num>
  <w:num w:numId="32">
    <w:abstractNumId w:val="20"/>
  </w:num>
  <w:num w:numId="33">
    <w:abstractNumId w:val="27"/>
  </w:num>
  <w:num w:numId="34">
    <w:abstractNumId w:val="21"/>
  </w:num>
  <w:num w:numId="35">
    <w:abstractNumId w:val="16"/>
  </w:num>
  <w:num w:numId="36">
    <w:abstractNumId w:val="11"/>
  </w:num>
  <w:num w:numId="37">
    <w:abstractNumId w:val="38"/>
  </w:num>
  <w:num w:numId="38">
    <w:abstractNumId w:val="8"/>
  </w:num>
  <w:num w:numId="39">
    <w:abstractNumId w:val="25"/>
  </w:num>
  <w:num w:numId="40">
    <w:abstractNumId w:val="47"/>
  </w:num>
  <w:num w:numId="41">
    <w:abstractNumId w:val="17"/>
  </w:num>
  <w:num w:numId="42">
    <w:abstractNumId w:val="19"/>
  </w:num>
  <w:num w:numId="43">
    <w:abstractNumId w:val="4"/>
  </w:num>
  <w:num w:numId="44">
    <w:abstractNumId w:val="14"/>
  </w:num>
  <w:num w:numId="45">
    <w:abstractNumId w:val="3"/>
  </w:num>
  <w:num w:numId="46">
    <w:abstractNumId w:val="6"/>
  </w:num>
  <w:num w:numId="47">
    <w:abstractNumId w:val="33"/>
  </w:num>
  <w:num w:numId="48">
    <w:abstractNumId w:val="34"/>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E40"/>
    <w:rsid w:val="000001ED"/>
    <w:rsid w:val="00036287"/>
    <w:rsid w:val="000363BA"/>
    <w:rsid w:val="00036B15"/>
    <w:rsid w:val="0006045A"/>
    <w:rsid w:val="000707D1"/>
    <w:rsid w:val="00072F2F"/>
    <w:rsid w:val="00076288"/>
    <w:rsid w:val="00076BC4"/>
    <w:rsid w:val="00086B40"/>
    <w:rsid w:val="0009580B"/>
    <w:rsid w:val="00097E04"/>
    <w:rsid w:val="000A028E"/>
    <w:rsid w:val="000A106C"/>
    <w:rsid w:val="000A16A7"/>
    <w:rsid w:val="000A57E6"/>
    <w:rsid w:val="000D3D5B"/>
    <w:rsid w:val="000E6C36"/>
    <w:rsid w:val="000E70CD"/>
    <w:rsid w:val="000F2DC6"/>
    <w:rsid w:val="000F4981"/>
    <w:rsid w:val="001017EB"/>
    <w:rsid w:val="001064F4"/>
    <w:rsid w:val="00125B2A"/>
    <w:rsid w:val="001332FF"/>
    <w:rsid w:val="00142F51"/>
    <w:rsid w:val="001514DE"/>
    <w:rsid w:val="00152055"/>
    <w:rsid w:val="0016026B"/>
    <w:rsid w:val="00193158"/>
    <w:rsid w:val="001953FC"/>
    <w:rsid w:val="00196326"/>
    <w:rsid w:val="001A2C83"/>
    <w:rsid w:val="001C542F"/>
    <w:rsid w:val="001E2490"/>
    <w:rsid w:val="001F269C"/>
    <w:rsid w:val="001F5454"/>
    <w:rsid w:val="00200150"/>
    <w:rsid w:val="0020702D"/>
    <w:rsid w:val="0021043F"/>
    <w:rsid w:val="00210946"/>
    <w:rsid w:val="00220A8D"/>
    <w:rsid w:val="002316BC"/>
    <w:rsid w:val="00232729"/>
    <w:rsid w:val="002403DA"/>
    <w:rsid w:val="00245590"/>
    <w:rsid w:val="0025073A"/>
    <w:rsid w:val="00251D46"/>
    <w:rsid w:val="00251D68"/>
    <w:rsid w:val="00256A06"/>
    <w:rsid w:val="00261E9C"/>
    <w:rsid w:val="00271B67"/>
    <w:rsid w:val="00272AFF"/>
    <w:rsid w:val="00274EBD"/>
    <w:rsid w:val="002769ED"/>
    <w:rsid w:val="002800E1"/>
    <w:rsid w:val="00281813"/>
    <w:rsid w:val="002865D0"/>
    <w:rsid w:val="00290A83"/>
    <w:rsid w:val="002924F7"/>
    <w:rsid w:val="0029420B"/>
    <w:rsid w:val="002B4E40"/>
    <w:rsid w:val="002B6DBA"/>
    <w:rsid w:val="002B7CEB"/>
    <w:rsid w:val="002C19C9"/>
    <w:rsid w:val="002C2F9A"/>
    <w:rsid w:val="002C3001"/>
    <w:rsid w:val="002C7FE9"/>
    <w:rsid w:val="002E0759"/>
    <w:rsid w:val="002E48B5"/>
    <w:rsid w:val="002E56E0"/>
    <w:rsid w:val="002F38A4"/>
    <w:rsid w:val="00303FEE"/>
    <w:rsid w:val="00305179"/>
    <w:rsid w:val="00310D1C"/>
    <w:rsid w:val="00311931"/>
    <w:rsid w:val="0031193E"/>
    <w:rsid w:val="00312129"/>
    <w:rsid w:val="00312316"/>
    <w:rsid w:val="0031681D"/>
    <w:rsid w:val="003204D3"/>
    <w:rsid w:val="00325E63"/>
    <w:rsid w:val="003324FE"/>
    <w:rsid w:val="0034117C"/>
    <w:rsid w:val="003473AC"/>
    <w:rsid w:val="00347A9D"/>
    <w:rsid w:val="00351A4D"/>
    <w:rsid w:val="0036000E"/>
    <w:rsid w:val="00363BE2"/>
    <w:rsid w:val="003662B5"/>
    <w:rsid w:val="0036777E"/>
    <w:rsid w:val="0037077E"/>
    <w:rsid w:val="00371A20"/>
    <w:rsid w:val="00375BEF"/>
    <w:rsid w:val="0039367C"/>
    <w:rsid w:val="003A0E0D"/>
    <w:rsid w:val="003A4971"/>
    <w:rsid w:val="003A5641"/>
    <w:rsid w:val="003B1AAC"/>
    <w:rsid w:val="003C26B9"/>
    <w:rsid w:val="003C297C"/>
    <w:rsid w:val="003D6F23"/>
    <w:rsid w:val="003E2BD1"/>
    <w:rsid w:val="003E3377"/>
    <w:rsid w:val="003E5E74"/>
    <w:rsid w:val="00412771"/>
    <w:rsid w:val="0042042B"/>
    <w:rsid w:val="00425079"/>
    <w:rsid w:val="004278CF"/>
    <w:rsid w:val="00427B68"/>
    <w:rsid w:val="004413F4"/>
    <w:rsid w:val="00441574"/>
    <w:rsid w:val="00443126"/>
    <w:rsid w:val="00444BC8"/>
    <w:rsid w:val="004522AF"/>
    <w:rsid w:val="00453622"/>
    <w:rsid w:val="00453B3C"/>
    <w:rsid w:val="0046031B"/>
    <w:rsid w:val="00464A02"/>
    <w:rsid w:val="00470E08"/>
    <w:rsid w:val="004712F8"/>
    <w:rsid w:val="00482502"/>
    <w:rsid w:val="00496D00"/>
    <w:rsid w:val="004A645E"/>
    <w:rsid w:val="004C14EA"/>
    <w:rsid w:val="004D2DD2"/>
    <w:rsid w:val="00500A69"/>
    <w:rsid w:val="00503E44"/>
    <w:rsid w:val="00503EF9"/>
    <w:rsid w:val="00507677"/>
    <w:rsid w:val="005156F8"/>
    <w:rsid w:val="005213E0"/>
    <w:rsid w:val="0053650D"/>
    <w:rsid w:val="0054333C"/>
    <w:rsid w:val="0054384E"/>
    <w:rsid w:val="00562008"/>
    <w:rsid w:val="00565918"/>
    <w:rsid w:val="00571A63"/>
    <w:rsid w:val="005763C0"/>
    <w:rsid w:val="00577A9B"/>
    <w:rsid w:val="0058043E"/>
    <w:rsid w:val="005806B7"/>
    <w:rsid w:val="0059017A"/>
    <w:rsid w:val="00596002"/>
    <w:rsid w:val="005A3F65"/>
    <w:rsid w:val="005B432E"/>
    <w:rsid w:val="005B7330"/>
    <w:rsid w:val="005C016E"/>
    <w:rsid w:val="005C15AE"/>
    <w:rsid w:val="005C2B97"/>
    <w:rsid w:val="005C4CF4"/>
    <w:rsid w:val="005C581A"/>
    <w:rsid w:val="005E0615"/>
    <w:rsid w:val="005E0DD0"/>
    <w:rsid w:val="005E3F92"/>
    <w:rsid w:val="005E46EA"/>
    <w:rsid w:val="005F4DFA"/>
    <w:rsid w:val="00646615"/>
    <w:rsid w:val="00652A78"/>
    <w:rsid w:val="0065640F"/>
    <w:rsid w:val="00660F24"/>
    <w:rsid w:val="0066318C"/>
    <w:rsid w:val="00663AF1"/>
    <w:rsid w:val="00665200"/>
    <w:rsid w:val="00683019"/>
    <w:rsid w:val="006845AD"/>
    <w:rsid w:val="006845BD"/>
    <w:rsid w:val="00694AE5"/>
    <w:rsid w:val="006A3EEC"/>
    <w:rsid w:val="006D16C5"/>
    <w:rsid w:val="006D1867"/>
    <w:rsid w:val="006D1BE8"/>
    <w:rsid w:val="006F5E8F"/>
    <w:rsid w:val="00717811"/>
    <w:rsid w:val="0071793C"/>
    <w:rsid w:val="00720E55"/>
    <w:rsid w:val="00724D90"/>
    <w:rsid w:val="0073636B"/>
    <w:rsid w:val="007475BA"/>
    <w:rsid w:val="0075256F"/>
    <w:rsid w:val="0076030B"/>
    <w:rsid w:val="007664B5"/>
    <w:rsid w:val="00770D78"/>
    <w:rsid w:val="00782507"/>
    <w:rsid w:val="00785DAF"/>
    <w:rsid w:val="00792FE7"/>
    <w:rsid w:val="007A3BEC"/>
    <w:rsid w:val="007B2102"/>
    <w:rsid w:val="007B6B0C"/>
    <w:rsid w:val="007C3B87"/>
    <w:rsid w:val="007C44C9"/>
    <w:rsid w:val="007E168A"/>
    <w:rsid w:val="007E371C"/>
    <w:rsid w:val="007E7367"/>
    <w:rsid w:val="007F3700"/>
    <w:rsid w:val="007F634B"/>
    <w:rsid w:val="00801842"/>
    <w:rsid w:val="008058A6"/>
    <w:rsid w:val="008119DD"/>
    <w:rsid w:val="008165A3"/>
    <w:rsid w:val="008217BB"/>
    <w:rsid w:val="00826324"/>
    <w:rsid w:val="00836489"/>
    <w:rsid w:val="008428E3"/>
    <w:rsid w:val="00847CEB"/>
    <w:rsid w:val="008557C7"/>
    <w:rsid w:val="008619E4"/>
    <w:rsid w:val="00864AC9"/>
    <w:rsid w:val="00870DD9"/>
    <w:rsid w:val="00880A05"/>
    <w:rsid w:val="00884647"/>
    <w:rsid w:val="0089257D"/>
    <w:rsid w:val="008B222C"/>
    <w:rsid w:val="008D0D84"/>
    <w:rsid w:val="008D5E38"/>
    <w:rsid w:val="008D5F97"/>
    <w:rsid w:val="008E7369"/>
    <w:rsid w:val="008E7837"/>
    <w:rsid w:val="008F142A"/>
    <w:rsid w:val="008F37E9"/>
    <w:rsid w:val="008F64F0"/>
    <w:rsid w:val="008F7BF3"/>
    <w:rsid w:val="00900077"/>
    <w:rsid w:val="00902621"/>
    <w:rsid w:val="00903695"/>
    <w:rsid w:val="00911334"/>
    <w:rsid w:val="00912B03"/>
    <w:rsid w:val="009338F1"/>
    <w:rsid w:val="00954587"/>
    <w:rsid w:val="009662CF"/>
    <w:rsid w:val="009664CD"/>
    <w:rsid w:val="00971F88"/>
    <w:rsid w:val="00984080"/>
    <w:rsid w:val="00991267"/>
    <w:rsid w:val="00997DCA"/>
    <w:rsid w:val="009A6178"/>
    <w:rsid w:val="009C5055"/>
    <w:rsid w:val="009C751B"/>
    <w:rsid w:val="009D20F9"/>
    <w:rsid w:val="009D4891"/>
    <w:rsid w:val="009E7D38"/>
    <w:rsid w:val="00A0266A"/>
    <w:rsid w:val="00A055CD"/>
    <w:rsid w:val="00A11183"/>
    <w:rsid w:val="00A12E9B"/>
    <w:rsid w:val="00A160E2"/>
    <w:rsid w:val="00A27527"/>
    <w:rsid w:val="00A34F10"/>
    <w:rsid w:val="00A511DD"/>
    <w:rsid w:val="00A54D65"/>
    <w:rsid w:val="00A62E95"/>
    <w:rsid w:val="00A776A5"/>
    <w:rsid w:val="00A832E9"/>
    <w:rsid w:val="00A852C6"/>
    <w:rsid w:val="00A8633F"/>
    <w:rsid w:val="00A87AE4"/>
    <w:rsid w:val="00A91774"/>
    <w:rsid w:val="00A92F45"/>
    <w:rsid w:val="00A94961"/>
    <w:rsid w:val="00AA677B"/>
    <w:rsid w:val="00AB0F98"/>
    <w:rsid w:val="00AB2D90"/>
    <w:rsid w:val="00AB3335"/>
    <w:rsid w:val="00AC470A"/>
    <w:rsid w:val="00AF54A4"/>
    <w:rsid w:val="00B01275"/>
    <w:rsid w:val="00B022AA"/>
    <w:rsid w:val="00B0421F"/>
    <w:rsid w:val="00B1595D"/>
    <w:rsid w:val="00B301B2"/>
    <w:rsid w:val="00B35856"/>
    <w:rsid w:val="00B46157"/>
    <w:rsid w:val="00B507C0"/>
    <w:rsid w:val="00B6501F"/>
    <w:rsid w:val="00B71B0A"/>
    <w:rsid w:val="00B81E12"/>
    <w:rsid w:val="00B84402"/>
    <w:rsid w:val="00B859F8"/>
    <w:rsid w:val="00B87F4F"/>
    <w:rsid w:val="00B948CE"/>
    <w:rsid w:val="00BA22B7"/>
    <w:rsid w:val="00BA7E89"/>
    <w:rsid w:val="00BB64B0"/>
    <w:rsid w:val="00BD6488"/>
    <w:rsid w:val="00BD7A16"/>
    <w:rsid w:val="00BE0D6E"/>
    <w:rsid w:val="00BE237B"/>
    <w:rsid w:val="00C035B0"/>
    <w:rsid w:val="00C1250D"/>
    <w:rsid w:val="00C14739"/>
    <w:rsid w:val="00C148EB"/>
    <w:rsid w:val="00C151E3"/>
    <w:rsid w:val="00C224AA"/>
    <w:rsid w:val="00C31D91"/>
    <w:rsid w:val="00C34429"/>
    <w:rsid w:val="00C3650E"/>
    <w:rsid w:val="00C40BB2"/>
    <w:rsid w:val="00C451C1"/>
    <w:rsid w:val="00C60D6F"/>
    <w:rsid w:val="00C624AF"/>
    <w:rsid w:val="00C67571"/>
    <w:rsid w:val="00C67EC4"/>
    <w:rsid w:val="00C77670"/>
    <w:rsid w:val="00C85C86"/>
    <w:rsid w:val="00C85E30"/>
    <w:rsid w:val="00CA7BFE"/>
    <w:rsid w:val="00CB0C1D"/>
    <w:rsid w:val="00CB430C"/>
    <w:rsid w:val="00CB52FA"/>
    <w:rsid w:val="00CC5899"/>
    <w:rsid w:val="00CD198B"/>
    <w:rsid w:val="00CE4C14"/>
    <w:rsid w:val="00CE73DD"/>
    <w:rsid w:val="00CF160D"/>
    <w:rsid w:val="00CF60BA"/>
    <w:rsid w:val="00CF7A79"/>
    <w:rsid w:val="00D0770E"/>
    <w:rsid w:val="00D13677"/>
    <w:rsid w:val="00D1434D"/>
    <w:rsid w:val="00D3113D"/>
    <w:rsid w:val="00D54AF8"/>
    <w:rsid w:val="00D56E0C"/>
    <w:rsid w:val="00D60909"/>
    <w:rsid w:val="00D67260"/>
    <w:rsid w:val="00D768FE"/>
    <w:rsid w:val="00D800B7"/>
    <w:rsid w:val="00D94CCE"/>
    <w:rsid w:val="00D957CE"/>
    <w:rsid w:val="00DA1298"/>
    <w:rsid w:val="00DA6E23"/>
    <w:rsid w:val="00DA761A"/>
    <w:rsid w:val="00DC0FCF"/>
    <w:rsid w:val="00DD1A04"/>
    <w:rsid w:val="00DD7A4C"/>
    <w:rsid w:val="00DE7039"/>
    <w:rsid w:val="00E05BD9"/>
    <w:rsid w:val="00E07072"/>
    <w:rsid w:val="00E147D2"/>
    <w:rsid w:val="00E22308"/>
    <w:rsid w:val="00E253C3"/>
    <w:rsid w:val="00E267EE"/>
    <w:rsid w:val="00E32299"/>
    <w:rsid w:val="00E372E1"/>
    <w:rsid w:val="00E47D6D"/>
    <w:rsid w:val="00E62776"/>
    <w:rsid w:val="00E67B9C"/>
    <w:rsid w:val="00E7331D"/>
    <w:rsid w:val="00E9440E"/>
    <w:rsid w:val="00EC2143"/>
    <w:rsid w:val="00EC3F61"/>
    <w:rsid w:val="00EC56F4"/>
    <w:rsid w:val="00ED14C4"/>
    <w:rsid w:val="00EE118B"/>
    <w:rsid w:val="00EF37D7"/>
    <w:rsid w:val="00F0237B"/>
    <w:rsid w:val="00F06CEC"/>
    <w:rsid w:val="00F3741F"/>
    <w:rsid w:val="00F51377"/>
    <w:rsid w:val="00F541E5"/>
    <w:rsid w:val="00F67978"/>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847C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847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4.emf"/><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hyperlink" Target="https://consult.education.gov.uk/funding-policy-unit/schools-national-funding-formula2/" TargetMode="Externa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A6281-CB43-478E-9AC6-86EF76DCC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2085</Words>
  <Characters>11887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Mr Mike Smith (Zengenti)</cp:lastModifiedBy>
  <cp:revision>7</cp:revision>
  <cp:lastPrinted>2016-12-28T16:36:00Z</cp:lastPrinted>
  <dcterms:created xsi:type="dcterms:W3CDTF">2017-01-03T15:18:00Z</dcterms:created>
  <dcterms:modified xsi:type="dcterms:W3CDTF">2017-08-01T15:31:00Z</dcterms:modified>
  <dc:title>Mainstream schools - National funding formula consultation</dc:title>
  <cp:keywords>
  </cp:keywords>
  <dc:subject>
  </dc:subject>
</cp:coreProperties>
</file>