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5E14A1" w:rsidR="007C44C9" w:rsidP="002B4E40" w:rsidRDefault="00331809">
      <w:pPr>
        <w:jc w:val="center"/>
        <w:rPr>
          <w:rFonts w:cs="Arial"/>
          <w:b/>
          <w:sz w:val="26"/>
          <w:szCs w:val="26"/>
          <w:u w:val="single"/>
        </w:rPr>
      </w:pPr>
      <w:r w:rsidRPr="005E14A1">
        <w:rPr>
          <w:rFonts w:cs="Arial"/>
          <w:b/>
          <w:noProof/>
          <w:sz w:val="26"/>
          <w:szCs w:val="26"/>
          <w:u w:val="single"/>
          <w:lang w:eastAsia="en-GB"/>
        </w:rPr>
        <mc:AlternateContent>
          <mc:Choice Requires="wps">
            <w:drawing>
              <wp:anchor distT="0" distB="0" distL="114300" distR="114300" simplePos="0" relativeHeight="251659264" behindDoc="0" locked="0" layoutInCell="1" allowOverlap="1" wp14:editId="1653E0AF" wp14:anchorId="6FC5E7A0">
                <wp:simplePos x="0" y="0"/>
                <wp:positionH relativeFrom="column">
                  <wp:posOffset>-168275</wp:posOffset>
                </wp:positionH>
                <wp:positionV relativeFrom="paragraph">
                  <wp:posOffset>-140335</wp:posOffset>
                </wp:positionV>
                <wp:extent cx="90043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430" cy="1403985"/>
                        </a:xfrm>
                        <a:prstGeom prst="rect">
                          <a:avLst/>
                        </a:prstGeom>
                        <a:solidFill>
                          <a:srgbClr val="FFFFFF"/>
                        </a:solidFill>
                        <a:ln w="9525">
                          <a:noFill/>
                          <a:miter lim="800000"/>
                          <a:headEnd/>
                          <a:tailEnd/>
                        </a:ln>
                      </wps:spPr>
                      <wps:txbx>
                        <w:txbxContent>
                          <w:p w:rsidRPr="006D16C5" w:rsidR="00CE73DD" w:rsidRDefault="00CE73DD">
                            <w:pPr>
                              <w:rPr>
                                <w:sz w:val="26"/>
                                <w:szCs w:val="26"/>
                              </w:rPr>
                            </w:pPr>
                            <w:r w:rsidRPr="006D16C5">
                              <w:rPr>
                                <w:sz w:val="26"/>
                                <w:szCs w:val="26"/>
                              </w:rPr>
                              <w:t xml:space="preserve">Rep </w:t>
                            </w:r>
                            <w:r>
                              <w:rPr>
                                <w:sz w:val="26"/>
                                <w:szCs w:val="26"/>
                              </w:rPr>
                              <w:t>68</w:t>
                            </w:r>
                            <w:r w:rsidR="009D1559">
                              <w:rPr>
                                <w:sz w:val="26"/>
                                <w:szCs w:val="26"/>
                              </w:rPr>
                              <w:t>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style="position:absolute;left:0;text-align:left;margin-left:-13.25pt;margin-top:-11.05pt;width:70.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">
                <v:textbox style="mso-fit-shape-to-text:t">
                  <w:txbxContent>
                    <w:p w:rsidRPr="006D16C5" w:rsidR="00CE73DD" w:rsidRDefault="00CE73DD">
                      <w:pPr>
                        <w:rPr>
                          <w:sz w:val="26"/>
                          <w:szCs w:val="26"/>
                        </w:rPr>
                      </w:pPr>
                      <w:r w:rsidRPr="006D16C5">
                        <w:rPr>
                          <w:sz w:val="26"/>
                          <w:szCs w:val="26"/>
                        </w:rPr>
                        <w:t xml:space="preserve">Rep </w:t>
                      </w:r>
                      <w:r>
                        <w:rPr>
                          <w:sz w:val="26"/>
                          <w:szCs w:val="26"/>
                        </w:rPr>
                        <w:t>68</w:t>
                      </w:r>
                      <w:r w:rsidR="009D1559">
                        <w:rPr>
                          <w:sz w:val="26"/>
                          <w:szCs w:val="26"/>
                        </w:rPr>
                        <w:t>8</w:t>
                      </w:r>
                    </w:p>
                  </w:txbxContent>
                </v:textbox>
              </v:shape>
            </w:pict>
          </mc:Fallback>
        </mc:AlternateContent>
      </w:r>
      <w:r w:rsidRPr="005E14A1" w:rsidR="005C15AE">
        <w:rPr>
          <w:rFonts w:cs="Arial"/>
          <w:b/>
          <w:noProof/>
          <w:sz w:val="26"/>
          <w:szCs w:val="26"/>
          <w:u w:val="single"/>
          <w:lang w:eastAsia="en-GB"/>
        </w:rPr>
        <mc:AlternateContent>
          <mc:Choice Requires="wps">
            <w:drawing>
              <wp:anchor distT="0" distB="0" distL="114300" distR="114300" simplePos="0" relativeHeight="251661312" behindDoc="0" locked="0" layoutInCell="1" allowOverlap="1" wp14:editId="38EF7B9A" wp14:anchorId="6701538F">
                <wp:simplePos x="0" y="0"/>
                <wp:positionH relativeFrom="column">
                  <wp:posOffset>4968190</wp:posOffset>
                </wp:positionH>
                <wp:positionV relativeFrom="paragraph">
                  <wp:posOffset>-105831</wp:posOffset>
                </wp:positionV>
                <wp:extent cx="1353787" cy="140398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787" cy="1403985"/>
                        </a:xfrm>
                        <a:prstGeom prst="rect">
                          <a:avLst/>
                        </a:prstGeom>
                        <a:solidFill>
                          <a:srgbClr val="FFFFFF"/>
                        </a:solidFill>
                        <a:ln w="9525">
                          <a:noFill/>
                          <a:miter lim="800000"/>
                          <a:headEnd/>
                          <a:tailEnd/>
                        </a:ln>
                      </wps:spPr>
                      <wps:txbx>
                        <w:txbxContent>
                          <w:p w:rsidRPr="006D16C5" w:rsidR="00CE73DD" w:rsidP="006D16C5" w:rsidRDefault="00CE73DD">
                            <w:pPr>
                              <w:rPr>
                                <w:sz w:val="26"/>
                                <w:szCs w:val="26"/>
                              </w:rPr>
                            </w:pPr>
                            <w:r>
                              <w:rPr>
                                <w:sz w:val="26"/>
                                <w:szCs w:val="26"/>
                              </w:rPr>
                              <w:t xml:space="preserve">Agenda Item </w:t>
                            </w:r>
                            <w:r w:rsidR="0072032C">
                              <w:rPr>
                                <w:sz w:val="26"/>
                                <w:szCs w:val="26"/>
                              </w:rPr>
                              <w:t>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7" style="position:absolute;left:0;text-align:left;margin-left:391.2pt;margin-top:-8.35pt;width:106.6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">
                <v:textbox style="mso-fit-shape-to-text:t">
                  <w:txbxContent>
                    <w:p w:rsidRPr="006D16C5" w:rsidR="00CE73DD" w:rsidP="006D16C5" w:rsidRDefault="00CE73DD">
                      <w:pPr>
                        <w:rPr>
                          <w:sz w:val="26"/>
                          <w:szCs w:val="26"/>
                        </w:rPr>
                      </w:pPr>
                      <w:r>
                        <w:rPr>
                          <w:sz w:val="26"/>
                          <w:szCs w:val="26"/>
                        </w:rPr>
                        <w:t xml:space="preserve">Agenda Item </w:t>
                      </w:r>
                      <w:r w:rsidR="0072032C">
                        <w:rPr>
                          <w:sz w:val="26"/>
                          <w:szCs w:val="26"/>
                        </w:rPr>
                        <w:t>4</w:t>
                      </w:r>
                    </w:p>
                  </w:txbxContent>
                </v:textbox>
              </v:shape>
            </w:pict>
          </mc:Fallback>
        </mc:AlternateContent>
      </w:r>
      <w:r w:rsidRPr="005E14A1" w:rsidR="002B4E40">
        <w:rPr>
          <w:rFonts w:cs="Arial"/>
          <w:b/>
          <w:sz w:val="26"/>
          <w:szCs w:val="26"/>
          <w:u w:val="single"/>
        </w:rPr>
        <w:t>DERBYSHIRE COUNTY COUNCIL</w:t>
      </w:r>
    </w:p>
    <w:p w:rsidRPr="004A581C" w:rsidR="002B4E40" w:rsidP="002B4E40" w:rsidRDefault="002B4E40">
      <w:pPr>
        <w:jc w:val="center"/>
        <w:rPr>
          <w:rFonts w:cs="Arial"/>
          <w:b/>
          <w:sz w:val="22"/>
          <w:szCs w:val="26"/>
          <w:u w:val="single"/>
        </w:rPr>
      </w:pPr>
    </w:p>
    <w:p w:rsidRPr="005E14A1" w:rsidR="002B4E40" w:rsidP="002B4E40" w:rsidRDefault="002B4E40">
      <w:pPr>
        <w:jc w:val="center"/>
        <w:rPr>
          <w:rFonts w:cs="Arial"/>
          <w:b/>
          <w:sz w:val="26"/>
          <w:szCs w:val="26"/>
          <w:u w:val="single"/>
        </w:rPr>
      </w:pPr>
      <w:r w:rsidRPr="005E14A1">
        <w:rPr>
          <w:rFonts w:cs="Arial"/>
          <w:b/>
          <w:sz w:val="26"/>
          <w:szCs w:val="26"/>
          <w:u w:val="single"/>
        </w:rPr>
        <w:t>SCHOOLS FORUM</w:t>
      </w:r>
    </w:p>
    <w:p w:rsidRPr="004A581C" w:rsidR="002B4E40" w:rsidP="002B4E40" w:rsidRDefault="002B4E40">
      <w:pPr>
        <w:jc w:val="center"/>
        <w:rPr>
          <w:rFonts w:cs="Arial"/>
          <w:b/>
          <w:sz w:val="22"/>
          <w:szCs w:val="26"/>
          <w:u w:val="single"/>
        </w:rPr>
      </w:pPr>
    </w:p>
    <w:p w:rsidRPr="005E14A1" w:rsidR="002B4E40" w:rsidP="002B4E40" w:rsidRDefault="00E267EE">
      <w:pPr>
        <w:jc w:val="center"/>
        <w:rPr>
          <w:rFonts w:cs="Arial"/>
          <w:b/>
          <w:sz w:val="26"/>
          <w:szCs w:val="26"/>
          <w:u w:val="single"/>
        </w:rPr>
      </w:pPr>
      <w:r w:rsidRPr="005E14A1">
        <w:rPr>
          <w:rFonts w:cs="Arial"/>
          <w:b/>
          <w:sz w:val="26"/>
          <w:szCs w:val="26"/>
          <w:u w:val="single"/>
        </w:rPr>
        <w:t>9</w:t>
      </w:r>
      <w:r w:rsidRPr="005E14A1">
        <w:rPr>
          <w:rFonts w:cs="Arial"/>
          <w:b/>
          <w:sz w:val="26"/>
          <w:szCs w:val="26"/>
          <w:u w:val="single"/>
          <w:vertAlign w:val="superscript"/>
        </w:rPr>
        <w:t>th</w:t>
      </w:r>
      <w:r w:rsidRPr="005E14A1">
        <w:rPr>
          <w:rFonts w:cs="Arial"/>
          <w:b/>
          <w:sz w:val="26"/>
          <w:szCs w:val="26"/>
          <w:u w:val="single"/>
        </w:rPr>
        <w:t xml:space="preserve"> January </w:t>
      </w:r>
      <w:r w:rsidRPr="005E14A1" w:rsidR="002B4E40">
        <w:rPr>
          <w:rFonts w:cs="Arial"/>
          <w:b/>
          <w:sz w:val="26"/>
          <w:szCs w:val="26"/>
          <w:u w:val="single"/>
        </w:rPr>
        <w:t>201</w:t>
      </w:r>
      <w:r w:rsidRPr="005E14A1">
        <w:rPr>
          <w:rFonts w:cs="Arial"/>
          <w:b/>
          <w:sz w:val="26"/>
          <w:szCs w:val="26"/>
          <w:u w:val="single"/>
        </w:rPr>
        <w:t>7</w:t>
      </w:r>
    </w:p>
    <w:p w:rsidRPr="004A581C" w:rsidR="002B4E40" w:rsidP="002B4E40" w:rsidRDefault="002B4E40">
      <w:pPr>
        <w:jc w:val="center"/>
        <w:rPr>
          <w:rFonts w:cs="Arial"/>
          <w:b/>
          <w:sz w:val="22"/>
          <w:szCs w:val="26"/>
          <w:u w:val="single"/>
        </w:rPr>
      </w:pPr>
    </w:p>
    <w:p w:rsidRPr="005E14A1" w:rsidR="002B4E40" w:rsidP="002B4E40" w:rsidRDefault="002B4E40">
      <w:pPr>
        <w:jc w:val="center"/>
        <w:rPr>
          <w:rFonts w:cs="Arial"/>
          <w:b/>
          <w:sz w:val="26"/>
          <w:szCs w:val="26"/>
          <w:u w:val="single"/>
        </w:rPr>
      </w:pPr>
      <w:r w:rsidRPr="005E14A1">
        <w:rPr>
          <w:rFonts w:cs="Arial"/>
          <w:b/>
          <w:sz w:val="26"/>
          <w:szCs w:val="26"/>
          <w:u w:val="single"/>
        </w:rPr>
        <w:t>Report of the Strategic Director for Children’s Services</w:t>
      </w:r>
    </w:p>
    <w:p w:rsidRPr="00B04D7D" w:rsidR="002B4E40" w:rsidP="002B4E40" w:rsidRDefault="002B4E40">
      <w:pPr>
        <w:jc w:val="center"/>
        <w:rPr>
          <w:rFonts w:cs="Arial"/>
          <w:b/>
          <w:sz w:val="22"/>
          <w:szCs w:val="26"/>
          <w:u w:val="single"/>
        </w:rPr>
      </w:pPr>
    </w:p>
    <w:p w:rsidRPr="005E14A1" w:rsidR="002B4E40" w:rsidP="002B4E40" w:rsidRDefault="00A6701B">
      <w:pPr>
        <w:jc w:val="center"/>
        <w:rPr>
          <w:rFonts w:cs="Arial"/>
          <w:b/>
          <w:sz w:val="26"/>
          <w:szCs w:val="26"/>
        </w:rPr>
      </w:pPr>
      <w:r w:rsidRPr="005E14A1">
        <w:rPr>
          <w:rFonts w:cs="Arial"/>
          <w:b/>
          <w:sz w:val="26"/>
          <w:szCs w:val="26"/>
          <w:u w:val="single"/>
        </w:rPr>
        <w:t xml:space="preserve">High Needs </w:t>
      </w:r>
      <w:r w:rsidRPr="005E14A1" w:rsidR="006C27ED">
        <w:rPr>
          <w:rFonts w:cs="Arial"/>
          <w:b/>
          <w:sz w:val="26"/>
          <w:szCs w:val="26"/>
          <w:u w:val="single"/>
        </w:rPr>
        <w:t xml:space="preserve">Block - </w:t>
      </w:r>
      <w:r w:rsidRPr="005E14A1">
        <w:rPr>
          <w:rFonts w:cs="Arial"/>
          <w:b/>
          <w:sz w:val="26"/>
          <w:szCs w:val="26"/>
          <w:u w:val="single"/>
        </w:rPr>
        <w:t>National Funding Formula consultation</w:t>
      </w:r>
    </w:p>
    <w:p w:rsidRPr="004A581C" w:rsidR="002B4E40" w:rsidP="00EC3F61" w:rsidRDefault="002B4E40">
      <w:pPr>
        <w:jc w:val="center"/>
        <w:rPr>
          <w:rFonts w:cs="Arial"/>
          <w:b/>
          <w:sz w:val="22"/>
          <w:szCs w:val="26"/>
        </w:rPr>
      </w:pPr>
    </w:p>
    <w:p w:rsidRPr="005E14A1" w:rsidR="002B4E40" w:rsidP="00EC3F61" w:rsidRDefault="002B4E40">
      <w:pPr>
        <w:pStyle w:val="ListParagraph"/>
        <w:numPr>
          <w:ilvl w:val="0"/>
          <w:numId w:val="1"/>
        </w:numPr>
        <w:ind w:left="709" w:hanging="709"/>
        <w:rPr>
          <w:rFonts w:cs="Arial"/>
          <w:b/>
          <w:sz w:val="26"/>
          <w:szCs w:val="26"/>
        </w:rPr>
      </w:pPr>
      <w:r w:rsidRPr="005E14A1">
        <w:rPr>
          <w:rFonts w:cs="Arial"/>
          <w:b/>
          <w:sz w:val="26"/>
          <w:szCs w:val="26"/>
          <w:u w:val="single"/>
        </w:rPr>
        <w:t>Purpose of the Report</w:t>
      </w:r>
    </w:p>
    <w:p w:rsidRPr="004A581C" w:rsidR="002B4E40" w:rsidP="00EC3F61" w:rsidRDefault="002B4E40">
      <w:pPr>
        <w:ind w:left="709" w:hanging="709"/>
        <w:rPr>
          <w:rFonts w:cs="Arial"/>
          <w:b/>
          <w:sz w:val="18"/>
          <w:szCs w:val="26"/>
        </w:rPr>
      </w:pPr>
    </w:p>
    <w:p w:rsidRPr="005E14A1" w:rsidR="00331809" w:rsidP="00331809" w:rsidRDefault="00331809">
      <w:pPr>
        <w:rPr>
          <w:rFonts w:cs="Arial"/>
          <w:sz w:val="26"/>
          <w:szCs w:val="26"/>
        </w:rPr>
      </w:pPr>
      <w:r w:rsidRPr="005E14A1">
        <w:rPr>
          <w:rFonts w:cs="Arial"/>
          <w:sz w:val="26"/>
          <w:szCs w:val="26"/>
        </w:rPr>
        <w:t xml:space="preserve">To inform the Schools Forum of the government’s second phase consultation regarding a National Funding Formula (NFF) for allocating High Needs funding. </w:t>
      </w:r>
    </w:p>
    <w:p w:rsidRPr="004A581C" w:rsidR="005C15AE" w:rsidP="00EC3F61" w:rsidRDefault="005C15AE">
      <w:pPr>
        <w:ind w:left="709" w:hanging="709"/>
        <w:rPr>
          <w:rFonts w:cs="Arial"/>
          <w:b/>
          <w:sz w:val="18"/>
          <w:szCs w:val="26"/>
        </w:rPr>
      </w:pPr>
    </w:p>
    <w:p w:rsidRPr="005E14A1" w:rsidR="002B4E40" w:rsidP="00EC3F61" w:rsidRDefault="002B4E40">
      <w:pPr>
        <w:pStyle w:val="ListParagraph"/>
        <w:numPr>
          <w:ilvl w:val="0"/>
          <w:numId w:val="1"/>
        </w:numPr>
        <w:ind w:left="709" w:hanging="709"/>
        <w:rPr>
          <w:rFonts w:cs="Arial"/>
          <w:b/>
          <w:sz w:val="26"/>
          <w:szCs w:val="26"/>
        </w:rPr>
      </w:pPr>
      <w:r w:rsidRPr="005E14A1">
        <w:rPr>
          <w:rFonts w:cs="Arial"/>
          <w:b/>
          <w:sz w:val="26"/>
          <w:szCs w:val="26"/>
          <w:u w:val="single"/>
        </w:rPr>
        <w:t>Information and Analysis</w:t>
      </w:r>
    </w:p>
    <w:p w:rsidRPr="004A581C" w:rsidR="008619E4" w:rsidP="00EC3F61" w:rsidRDefault="008619E4">
      <w:pPr>
        <w:rPr>
          <w:rFonts w:cs="Arial"/>
          <w:sz w:val="22"/>
          <w:szCs w:val="26"/>
        </w:rPr>
      </w:pPr>
    </w:p>
    <w:p w:rsidRPr="00B04D7D" w:rsidR="00B04D7D" w:rsidP="00331809" w:rsidRDefault="00B04D7D">
      <w:pPr>
        <w:rPr>
          <w:rFonts w:cs="Arial"/>
          <w:b/>
          <w:sz w:val="26"/>
          <w:szCs w:val="26"/>
          <w:u w:val="single"/>
        </w:rPr>
      </w:pPr>
      <w:r w:rsidRPr="00B04D7D">
        <w:rPr>
          <w:rFonts w:cs="Arial"/>
          <w:b/>
          <w:sz w:val="26"/>
          <w:szCs w:val="26"/>
        </w:rPr>
        <w:t>2.1</w:t>
      </w:r>
      <w:r w:rsidRPr="00B04D7D">
        <w:rPr>
          <w:rFonts w:cs="Arial"/>
          <w:b/>
          <w:sz w:val="26"/>
          <w:szCs w:val="26"/>
        </w:rPr>
        <w:tab/>
      </w:r>
      <w:r w:rsidRPr="00B04D7D">
        <w:rPr>
          <w:rFonts w:cs="Arial"/>
          <w:b/>
          <w:sz w:val="26"/>
          <w:szCs w:val="26"/>
          <w:u w:val="single"/>
        </w:rPr>
        <w:t>High Needs Block Formula Overview</w:t>
      </w:r>
    </w:p>
    <w:p w:rsidRPr="004A581C" w:rsidR="00B04D7D" w:rsidP="00331809" w:rsidRDefault="00B04D7D">
      <w:pPr>
        <w:rPr>
          <w:rFonts w:cs="Arial"/>
          <w:sz w:val="22"/>
          <w:szCs w:val="26"/>
        </w:rPr>
      </w:pPr>
    </w:p>
    <w:p w:rsidR="00331809" w:rsidP="00331809" w:rsidRDefault="00067EF0">
      <w:pPr>
        <w:rPr>
          <w:rFonts w:cs="Arial"/>
          <w:sz w:val="26"/>
          <w:szCs w:val="26"/>
        </w:rPr>
      </w:pPr>
      <w:r>
        <w:rPr>
          <w:rFonts w:cs="Arial"/>
          <w:sz w:val="26"/>
          <w:szCs w:val="26"/>
        </w:rPr>
        <w:t xml:space="preserve">A </w:t>
      </w:r>
      <w:r w:rsidRPr="005E14A1" w:rsidR="00331809">
        <w:rPr>
          <w:rFonts w:cs="Arial"/>
          <w:sz w:val="26"/>
          <w:szCs w:val="26"/>
        </w:rPr>
        <w:t xml:space="preserve">consultation document was published on 14 December 2016 </w:t>
      </w:r>
      <w:r>
        <w:rPr>
          <w:rFonts w:cs="Arial"/>
          <w:sz w:val="26"/>
          <w:szCs w:val="26"/>
        </w:rPr>
        <w:t xml:space="preserve">which </w:t>
      </w:r>
      <w:r w:rsidRPr="005E14A1" w:rsidR="00331809">
        <w:rPr>
          <w:rFonts w:cs="Arial"/>
          <w:sz w:val="26"/>
          <w:szCs w:val="26"/>
        </w:rPr>
        <w:t>set</w:t>
      </w:r>
      <w:r>
        <w:rPr>
          <w:rFonts w:cs="Arial"/>
          <w:sz w:val="26"/>
          <w:szCs w:val="26"/>
        </w:rPr>
        <w:t>s</w:t>
      </w:r>
      <w:r w:rsidRPr="005E14A1" w:rsidR="00331809">
        <w:rPr>
          <w:rFonts w:cs="Arial"/>
          <w:sz w:val="26"/>
          <w:szCs w:val="26"/>
        </w:rPr>
        <w:t xml:space="preserve"> out the government’s proposed funding changes in respect of the High Needs Block of the Dedicated Schools Grant (DSG). The closing date for </w:t>
      </w:r>
      <w:r>
        <w:rPr>
          <w:rFonts w:cs="Arial"/>
          <w:sz w:val="26"/>
          <w:szCs w:val="26"/>
        </w:rPr>
        <w:t xml:space="preserve">responses to </w:t>
      </w:r>
      <w:r w:rsidRPr="005E14A1" w:rsidR="00331809">
        <w:rPr>
          <w:rFonts w:cs="Arial"/>
          <w:sz w:val="26"/>
          <w:szCs w:val="26"/>
        </w:rPr>
        <w:t>the consultation is 22 March 2017 and a copy of the questions on which the government is seeking views is attached as Appendix 1.</w:t>
      </w:r>
      <w:r w:rsidR="00B04D7D">
        <w:rPr>
          <w:rFonts w:cs="Arial"/>
          <w:sz w:val="26"/>
          <w:szCs w:val="26"/>
        </w:rPr>
        <w:t xml:space="preserve"> Copies of the consultation papers can be found at:</w:t>
      </w:r>
    </w:p>
    <w:p w:rsidRPr="00B04D7D" w:rsidR="00B04D7D" w:rsidP="00331809" w:rsidRDefault="00B04D7D">
      <w:pPr>
        <w:rPr>
          <w:rFonts w:cs="Arial"/>
          <w:sz w:val="10"/>
          <w:szCs w:val="26"/>
        </w:rPr>
      </w:pPr>
    </w:p>
    <w:p w:rsidRPr="00067EF0" w:rsidR="00B04D7D" w:rsidP="00B04D7D" w:rsidRDefault="00A7446D">
      <w:pPr>
        <w:rPr>
          <w:rFonts w:cs="Arial"/>
          <w:sz w:val="26"/>
          <w:szCs w:val="26"/>
        </w:rPr>
      </w:pPr>
      <w:hyperlink w:history="1" r:id="rId9">
        <w:r w:rsidRPr="00067EF0" w:rsidR="004A581C">
          <w:rPr>
            <w:rStyle w:val="Hyperlink"/>
            <w:rFonts w:cs="Arial"/>
            <w:sz w:val="26"/>
            <w:szCs w:val="26"/>
          </w:rPr>
          <w:t>https://consult.education.gov.uk/funding-policy-unit/high-needs-funding-reform-2/</w:t>
        </w:r>
      </w:hyperlink>
      <w:r w:rsidRPr="00067EF0" w:rsidR="004A581C">
        <w:rPr>
          <w:rFonts w:cs="Arial"/>
          <w:sz w:val="26"/>
          <w:szCs w:val="26"/>
        </w:rPr>
        <w:t xml:space="preserve"> </w:t>
      </w:r>
    </w:p>
    <w:p w:rsidRPr="00B04D7D" w:rsidR="004A581C" w:rsidP="00B04D7D" w:rsidRDefault="004A581C">
      <w:pPr>
        <w:rPr>
          <w:rFonts w:cs="Arial"/>
          <w:sz w:val="18"/>
          <w:szCs w:val="26"/>
        </w:rPr>
      </w:pPr>
    </w:p>
    <w:p w:rsidRPr="005E14A1" w:rsidR="00331809" w:rsidP="00331809" w:rsidRDefault="00331809">
      <w:pPr>
        <w:spacing w:after="120"/>
        <w:rPr>
          <w:rFonts w:cs="Arial"/>
          <w:sz w:val="26"/>
          <w:szCs w:val="26"/>
        </w:rPr>
      </w:pPr>
      <w:r w:rsidRPr="005E14A1">
        <w:rPr>
          <w:rFonts w:cs="Arial"/>
          <w:sz w:val="26"/>
          <w:szCs w:val="26"/>
        </w:rPr>
        <w:t xml:space="preserve">The High Needs </w:t>
      </w:r>
      <w:r w:rsidR="00067EF0">
        <w:rPr>
          <w:rFonts w:cs="Arial"/>
          <w:sz w:val="26"/>
          <w:szCs w:val="26"/>
        </w:rPr>
        <w:t xml:space="preserve">NFF will </w:t>
      </w:r>
      <w:r w:rsidRPr="005E14A1">
        <w:rPr>
          <w:rFonts w:cs="Arial"/>
          <w:sz w:val="26"/>
          <w:szCs w:val="26"/>
        </w:rPr>
        <w:t xml:space="preserve">take effect from 2018-19 and allocate funding </w:t>
      </w:r>
      <w:r w:rsidRPr="005E14A1">
        <w:rPr>
          <w:rFonts w:cs="Arial"/>
          <w:sz w:val="26"/>
          <w:szCs w:val="26"/>
          <w:u w:val="single"/>
        </w:rPr>
        <w:t>to LAs</w:t>
      </w:r>
      <w:r w:rsidRPr="005E14A1">
        <w:rPr>
          <w:rFonts w:cs="Arial"/>
          <w:sz w:val="26"/>
          <w:szCs w:val="26"/>
        </w:rPr>
        <w:t xml:space="preserve">: schools’ allocations will still be driven by local formulae. Importantly no LA will lose funding </w:t>
      </w:r>
      <w:r w:rsidR="00B04D7D">
        <w:rPr>
          <w:rFonts w:cs="Arial"/>
          <w:sz w:val="26"/>
          <w:szCs w:val="26"/>
        </w:rPr>
        <w:t xml:space="preserve">in cash terms </w:t>
      </w:r>
      <w:r w:rsidRPr="005E14A1">
        <w:rPr>
          <w:rFonts w:cs="Arial"/>
          <w:sz w:val="26"/>
          <w:szCs w:val="26"/>
        </w:rPr>
        <w:t>as a result of the reforms due to the introduction of a funding floor. The national formula will also have a significant element which reflects historic spend (around 50%)</w:t>
      </w:r>
      <w:r w:rsidR="00067EF0">
        <w:rPr>
          <w:rFonts w:cs="Arial"/>
          <w:sz w:val="26"/>
          <w:szCs w:val="26"/>
        </w:rPr>
        <w:t>. A summary of the formula is shown below:</w:t>
      </w:r>
    </w:p>
    <w:p w:rsidRPr="005E14A1" w:rsidR="00331809" w:rsidP="00CE73DD" w:rsidRDefault="00331809">
      <w:pPr>
        <w:pStyle w:val="ListParagraph"/>
        <w:ind w:left="0"/>
        <w:rPr>
          <w:rFonts w:cs="Arial"/>
          <w:sz w:val="26"/>
          <w:szCs w:val="26"/>
        </w:rPr>
      </w:pPr>
      <w:r w:rsidRPr="005E14A1">
        <w:rPr>
          <w:rFonts w:cs="Arial"/>
          <w:noProof/>
          <w:sz w:val="26"/>
          <w:szCs w:val="26"/>
          <w:lang w:eastAsia="en-GB"/>
        </w:rPr>
        <w:drawing>
          <wp:inline distT="0" distB="0" distL="0" distR="0" wp14:anchorId="566596F0" wp14:editId="125C66C8">
            <wp:extent cx="6309874" cy="37001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29129" cy="3711421"/>
                    </a:xfrm>
                    <a:prstGeom prst="rect">
                      <a:avLst/>
                    </a:prstGeom>
                    <a:noFill/>
                    <a:ln>
                      <a:noFill/>
                    </a:ln>
                  </pic:spPr>
                </pic:pic>
              </a:graphicData>
            </a:graphic>
          </wp:inline>
        </w:drawing>
      </w:r>
    </w:p>
    <w:p w:rsidR="00B04D7D" w:rsidP="00331809" w:rsidRDefault="004A581C">
      <w:pPr>
        <w:rPr>
          <w:rFonts w:cs="Arial"/>
          <w:sz w:val="26"/>
          <w:szCs w:val="26"/>
        </w:rPr>
      </w:pPr>
      <w:r>
        <w:rPr>
          <w:rFonts w:cs="Arial"/>
          <w:sz w:val="26"/>
          <w:szCs w:val="26"/>
        </w:rPr>
        <w:lastRenderedPageBreak/>
        <w:t>The High Need Formula proposes using the following factors</w:t>
      </w:r>
      <w:r w:rsidR="00445C46">
        <w:rPr>
          <w:rFonts w:cs="Arial"/>
          <w:sz w:val="26"/>
          <w:szCs w:val="26"/>
        </w:rPr>
        <w:t xml:space="preserve"> (2.20 onwards)</w:t>
      </w:r>
      <w:r>
        <w:rPr>
          <w:rFonts w:cs="Arial"/>
          <w:sz w:val="26"/>
          <w:szCs w:val="26"/>
        </w:rPr>
        <w:t>:</w:t>
      </w:r>
    </w:p>
    <w:p w:rsidR="004A581C" w:rsidP="00331809" w:rsidRDefault="004A581C">
      <w:pPr>
        <w:rPr>
          <w:rFonts w:cs="Arial"/>
          <w:sz w:val="26"/>
          <w:szCs w:val="26"/>
        </w:rPr>
      </w:pPr>
    </w:p>
    <w:p w:rsidRPr="004A581C" w:rsidR="004A581C" w:rsidP="004A581C" w:rsidRDefault="004A581C">
      <w:pPr>
        <w:pStyle w:val="Default"/>
        <w:rPr>
          <w:color w:val="auto"/>
          <w:sz w:val="26"/>
          <w:szCs w:val="26"/>
        </w:rPr>
      </w:pPr>
      <w:r w:rsidRPr="00A1688C">
        <w:rPr>
          <w:b/>
          <w:color w:val="auto"/>
          <w:sz w:val="26"/>
          <w:szCs w:val="26"/>
        </w:rPr>
        <w:t>Basic entitlement</w:t>
      </w:r>
      <w:r w:rsidRPr="004A581C">
        <w:rPr>
          <w:color w:val="auto"/>
          <w:sz w:val="26"/>
          <w:szCs w:val="26"/>
        </w:rPr>
        <w:t xml:space="preserve"> – a flat rate for each pupil in a special school or specialist post 16 institution, the rate mirrors what mainstream schools receive through the schools national funding formula for their pupils with high needs, and all institutions receive through the post-16 national funding formula. </w:t>
      </w:r>
    </w:p>
    <w:p w:rsidR="00D85488" w:rsidP="00D85488" w:rsidRDefault="00D85488">
      <w:pPr>
        <w:pStyle w:val="Default"/>
        <w:rPr>
          <w:color w:val="auto"/>
          <w:sz w:val="26"/>
          <w:szCs w:val="26"/>
        </w:rPr>
      </w:pPr>
    </w:p>
    <w:p w:rsidR="00C97EC5" w:rsidP="00C97EC5" w:rsidRDefault="00C97EC5">
      <w:pPr>
        <w:pStyle w:val="Default"/>
        <w:rPr>
          <w:color w:val="auto"/>
          <w:sz w:val="26"/>
          <w:szCs w:val="26"/>
        </w:rPr>
      </w:pPr>
      <w:r w:rsidRPr="00A1688C">
        <w:rPr>
          <w:b/>
          <w:color w:val="auto"/>
          <w:sz w:val="26"/>
          <w:szCs w:val="26"/>
        </w:rPr>
        <w:t>Historic spend</w:t>
      </w:r>
      <w:r>
        <w:rPr>
          <w:color w:val="auto"/>
          <w:sz w:val="26"/>
          <w:szCs w:val="26"/>
        </w:rPr>
        <w:t xml:space="preserve"> – around 50% of the quantum will be allocated on the basis of historic spend to ensure turbulence </w:t>
      </w:r>
      <w:r w:rsidR="00067EF0">
        <w:rPr>
          <w:color w:val="auto"/>
          <w:sz w:val="26"/>
          <w:szCs w:val="26"/>
        </w:rPr>
        <w:t xml:space="preserve">is </w:t>
      </w:r>
      <w:r>
        <w:rPr>
          <w:color w:val="auto"/>
          <w:sz w:val="26"/>
          <w:szCs w:val="26"/>
        </w:rPr>
        <w:t xml:space="preserve">manageable; the indicative historic allocations have been derived from the baseline information provided by LAs in </w:t>
      </w:r>
      <w:r w:rsidR="00067EF0">
        <w:rPr>
          <w:color w:val="auto"/>
          <w:sz w:val="26"/>
          <w:szCs w:val="26"/>
        </w:rPr>
        <w:t xml:space="preserve">spring </w:t>
      </w:r>
      <w:r>
        <w:rPr>
          <w:color w:val="auto"/>
          <w:sz w:val="26"/>
          <w:szCs w:val="26"/>
        </w:rPr>
        <w:t>2016. Historic allocations will remain as a cash sum until the national formula is reviewed in four years’ time.</w:t>
      </w:r>
    </w:p>
    <w:p w:rsidR="004A581C" w:rsidP="00331809" w:rsidRDefault="004A581C">
      <w:pPr>
        <w:rPr>
          <w:rFonts w:cs="Arial"/>
          <w:sz w:val="26"/>
          <w:szCs w:val="26"/>
        </w:rPr>
      </w:pPr>
    </w:p>
    <w:p w:rsidR="00C97EC5" w:rsidP="00331809" w:rsidRDefault="00C97EC5">
      <w:pPr>
        <w:rPr>
          <w:rFonts w:cs="Arial"/>
          <w:sz w:val="26"/>
          <w:szCs w:val="26"/>
        </w:rPr>
      </w:pPr>
      <w:r>
        <w:rPr>
          <w:rFonts w:cs="Arial"/>
          <w:sz w:val="26"/>
          <w:szCs w:val="26"/>
        </w:rPr>
        <w:t>The remaining funds will be allocated as follows</w:t>
      </w:r>
      <w:r w:rsidR="00067EF0">
        <w:rPr>
          <w:rFonts w:cs="Arial"/>
          <w:sz w:val="26"/>
          <w:szCs w:val="26"/>
        </w:rPr>
        <w:t xml:space="preserve">, </w:t>
      </w:r>
      <w:r w:rsidR="00A1688C">
        <w:rPr>
          <w:rFonts w:cs="Arial"/>
          <w:sz w:val="26"/>
          <w:szCs w:val="26"/>
        </w:rPr>
        <w:t>and in the following proportions</w:t>
      </w:r>
      <w:r>
        <w:rPr>
          <w:rFonts w:cs="Arial"/>
          <w:sz w:val="26"/>
          <w:szCs w:val="26"/>
        </w:rPr>
        <w:t>:</w:t>
      </w:r>
    </w:p>
    <w:p w:rsidR="00C97EC5" w:rsidP="00331809" w:rsidRDefault="00C97EC5">
      <w:pPr>
        <w:rPr>
          <w:rFonts w:cs="Arial"/>
          <w:sz w:val="26"/>
          <w:szCs w:val="26"/>
        </w:rPr>
      </w:pPr>
    </w:p>
    <w:p w:rsidR="00404101" w:rsidP="004A581C" w:rsidRDefault="004A581C">
      <w:pPr>
        <w:pStyle w:val="Default"/>
        <w:rPr>
          <w:color w:val="auto"/>
          <w:sz w:val="26"/>
          <w:szCs w:val="26"/>
        </w:rPr>
      </w:pPr>
      <w:r w:rsidRPr="00A1688C">
        <w:rPr>
          <w:b/>
          <w:color w:val="auto"/>
          <w:sz w:val="26"/>
          <w:szCs w:val="26"/>
        </w:rPr>
        <w:t xml:space="preserve">Population </w:t>
      </w:r>
      <w:r w:rsidRPr="00A1688C" w:rsidR="00D85488">
        <w:rPr>
          <w:b/>
          <w:color w:val="auto"/>
          <w:sz w:val="26"/>
          <w:szCs w:val="26"/>
        </w:rPr>
        <w:t>(50%)</w:t>
      </w:r>
      <w:r w:rsidR="00D85488">
        <w:rPr>
          <w:color w:val="auto"/>
          <w:sz w:val="26"/>
          <w:szCs w:val="26"/>
        </w:rPr>
        <w:t xml:space="preserve"> </w:t>
      </w:r>
      <w:r w:rsidRPr="004A581C">
        <w:rPr>
          <w:color w:val="auto"/>
          <w:sz w:val="26"/>
          <w:szCs w:val="26"/>
        </w:rPr>
        <w:t>- reflects that in every given population of a certain size there will be a prop</w:t>
      </w:r>
      <w:r>
        <w:rPr>
          <w:color w:val="auto"/>
          <w:sz w:val="26"/>
          <w:szCs w:val="26"/>
        </w:rPr>
        <w:t xml:space="preserve">ortion with high needs. The population </w:t>
      </w:r>
      <w:r w:rsidR="00067EF0">
        <w:rPr>
          <w:color w:val="auto"/>
          <w:sz w:val="26"/>
          <w:szCs w:val="26"/>
        </w:rPr>
        <w:t xml:space="preserve">used </w:t>
      </w:r>
      <w:r w:rsidR="00404101">
        <w:rPr>
          <w:color w:val="auto"/>
          <w:sz w:val="26"/>
          <w:szCs w:val="26"/>
        </w:rPr>
        <w:t xml:space="preserve">will be the Office for National Statistics </w:t>
      </w:r>
      <w:r w:rsidR="00F43E43">
        <w:rPr>
          <w:color w:val="auto"/>
          <w:sz w:val="26"/>
          <w:szCs w:val="26"/>
        </w:rPr>
        <w:t xml:space="preserve">(ONS) </w:t>
      </w:r>
      <w:r w:rsidR="00404101">
        <w:rPr>
          <w:color w:val="auto"/>
          <w:sz w:val="26"/>
          <w:szCs w:val="26"/>
        </w:rPr>
        <w:t xml:space="preserve">projected 2018 count of </w:t>
      </w:r>
      <w:r>
        <w:rPr>
          <w:color w:val="auto"/>
          <w:sz w:val="26"/>
          <w:szCs w:val="26"/>
        </w:rPr>
        <w:t>children aged 2-18</w:t>
      </w:r>
      <w:r w:rsidR="006865E7">
        <w:rPr>
          <w:color w:val="auto"/>
          <w:sz w:val="26"/>
          <w:szCs w:val="26"/>
        </w:rPr>
        <w:t xml:space="preserve"> resident in each LA</w:t>
      </w:r>
      <w:r>
        <w:rPr>
          <w:color w:val="auto"/>
          <w:sz w:val="26"/>
          <w:szCs w:val="26"/>
        </w:rPr>
        <w:t>.</w:t>
      </w:r>
    </w:p>
    <w:p w:rsidR="00404101" w:rsidP="004A581C" w:rsidRDefault="00404101">
      <w:pPr>
        <w:pStyle w:val="Default"/>
        <w:rPr>
          <w:color w:val="auto"/>
          <w:sz w:val="26"/>
          <w:szCs w:val="26"/>
        </w:rPr>
      </w:pPr>
    </w:p>
    <w:p w:rsidR="00404101" w:rsidP="00404101" w:rsidRDefault="00404101">
      <w:pPr>
        <w:pStyle w:val="Default"/>
        <w:rPr>
          <w:color w:val="auto"/>
          <w:sz w:val="26"/>
          <w:szCs w:val="26"/>
        </w:rPr>
      </w:pPr>
      <w:r w:rsidRPr="00A1688C">
        <w:rPr>
          <w:b/>
          <w:color w:val="auto"/>
          <w:sz w:val="26"/>
          <w:szCs w:val="26"/>
        </w:rPr>
        <w:t xml:space="preserve">Health and Disability </w:t>
      </w:r>
      <w:r w:rsidRPr="00A1688C" w:rsidR="00D85488">
        <w:rPr>
          <w:b/>
          <w:color w:val="auto"/>
          <w:sz w:val="26"/>
          <w:szCs w:val="26"/>
        </w:rPr>
        <w:t>(15%)</w:t>
      </w:r>
      <w:r w:rsidR="00D85488">
        <w:rPr>
          <w:color w:val="auto"/>
          <w:sz w:val="26"/>
          <w:szCs w:val="26"/>
        </w:rPr>
        <w:t xml:space="preserve"> </w:t>
      </w:r>
      <w:r>
        <w:rPr>
          <w:color w:val="auto"/>
          <w:sz w:val="26"/>
          <w:szCs w:val="26"/>
        </w:rPr>
        <w:t>–</w:t>
      </w:r>
      <w:r w:rsidR="00C97EC5">
        <w:rPr>
          <w:color w:val="auto"/>
          <w:sz w:val="26"/>
          <w:szCs w:val="26"/>
        </w:rPr>
        <w:t xml:space="preserve"> half of the </w:t>
      </w:r>
      <w:r>
        <w:rPr>
          <w:color w:val="auto"/>
          <w:sz w:val="26"/>
          <w:szCs w:val="26"/>
        </w:rPr>
        <w:t>funding will be allocated on the n</w:t>
      </w:r>
      <w:r w:rsidRPr="00404101">
        <w:rPr>
          <w:color w:val="auto"/>
          <w:sz w:val="26"/>
          <w:szCs w:val="26"/>
        </w:rPr>
        <w:t xml:space="preserve">umber of children aged 0-15 for whom parents receive DLA and </w:t>
      </w:r>
      <w:r>
        <w:rPr>
          <w:color w:val="auto"/>
          <w:sz w:val="26"/>
          <w:szCs w:val="26"/>
        </w:rPr>
        <w:t>half on the n</w:t>
      </w:r>
      <w:r w:rsidRPr="00404101">
        <w:rPr>
          <w:color w:val="auto"/>
          <w:sz w:val="26"/>
          <w:szCs w:val="26"/>
        </w:rPr>
        <w:t>umber of children and young people declared as in bad or very bad h</w:t>
      </w:r>
      <w:r>
        <w:rPr>
          <w:color w:val="auto"/>
          <w:sz w:val="26"/>
          <w:szCs w:val="26"/>
        </w:rPr>
        <w:t>ealth in the 2011 census.</w:t>
      </w:r>
    </w:p>
    <w:p w:rsidR="00404101" w:rsidP="00404101" w:rsidRDefault="00404101">
      <w:pPr>
        <w:pStyle w:val="Default"/>
        <w:rPr>
          <w:color w:val="auto"/>
          <w:sz w:val="26"/>
          <w:szCs w:val="26"/>
        </w:rPr>
      </w:pPr>
    </w:p>
    <w:p w:rsidR="001E24C8" w:rsidP="001E24C8" w:rsidRDefault="001E24C8">
      <w:pPr>
        <w:pStyle w:val="Default"/>
        <w:rPr>
          <w:color w:val="auto"/>
          <w:sz w:val="26"/>
          <w:szCs w:val="26"/>
        </w:rPr>
      </w:pPr>
      <w:r w:rsidRPr="00A1688C">
        <w:rPr>
          <w:b/>
          <w:color w:val="auto"/>
          <w:sz w:val="26"/>
          <w:szCs w:val="26"/>
        </w:rPr>
        <w:t xml:space="preserve">Low Attainment </w:t>
      </w:r>
      <w:r w:rsidRPr="00A1688C" w:rsidR="00D85488">
        <w:rPr>
          <w:b/>
          <w:color w:val="auto"/>
          <w:sz w:val="26"/>
          <w:szCs w:val="26"/>
        </w:rPr>
        <w:t>(15%)</w:t>
      </w:r>
      <w:r w:rsidR="00D85488">
        <w:rPr>
          <w:color w:val="auto"/>
          <w:sz w:val="26"/>
          <w:szCs w:val="26"/>
        </w:rPr>
        <w:t xml:space="preserve"> </w:t>
      </w:r>
      <w:r>
        <w:rPr>
          <w:color w:val="auto"/>
          <w:sz w:val="26"/>
          <w:szCs w:val="26"/>
        </w:rPr>
        <w:t>- half of the funding will be allocated on Key Stage 2 results (the n</w:t>
      </w:r>
      <w:r w:rsidR="00C97EC5">
        <w:rPr>
          <w:color w:val="auto"/>
          <w:sz w:val="26"/>
          <w:szCs w:val="26"/>
        </w:rPr>
        <w:t xml:space="preserve">o. </w:t>
      </w:r>
      <w:r w:rsidRPr="001E24C8">
        <w:rPr>
          <w:color w:val="auto"/>
          <w:sz w:val="26"/>
          <w:szCs w:val="26"/>
        </w:rPr>
        <w:t>of children not achieving level 3 or above in KS2 tests in 2011-15</w:t>
      </w:r>
      <w:r>
        <w:rPr>
          <w:color w:val="auto"/>
          <w:sz w:val="26"/>
          <w:szCs w:val="26"/>
        </w:rPr>
        <w:t xml:space="preserve">) </w:t>
      </w:r>
      <w:r w:rsidRPr="00404101">
        <w:rPr>
          <w:color w:val="auto"/>
          <w:sz w:val="26"/>
          <w:szCs w:val="26"/>
        </w:rPr>
        <w:t xml:space="preserve">and </w:t>
      </w:r>
      <w:r>
        <w:rPr>
          <w:color w:val="auto"/>
          <w:sz w:val="26"/>
          <w:szCs w:val="26"/>
        </w:rPr>
        <w:t xml:space="preserve">half on Key Stage 4 results (using the </w:t>
      </w:r>
      <w:r w:rsidR="00C97EC5">
        <w:rPr>
          <w:color w:val="auto"/>
          <w:sz w:val="26"/>
          <w:szCs w:val="26"/>
        </w:rPr>
        <w:t xml:space="preserve">no. </w:t>
      </w:r>
      <w:r w:rsidRPr="001E24C8">
        <w:rPr>
          <w:color w:val="auto"/>
          <w:sz w:val="26"/>
          <w:szCs w:val="26"/>
        </w:rPr>
        <w:t>of children not achiev</w:t>
      </w:r>
      <w:r>
        <w:rPr>
          <w:color w:val="auto"/>
          <w:sz w:val="26"/>
          <w:szCs w:val="26"/>
        </w:rPr>
        <w:t>ing 5+ A* to G GCSEs in 2011-15.)</w:t>
      </w:r>
    </w:p>
    <w:p w:rsidR="00E954D0" w:rsidP="001E24C8" w:rsidRDefault="00E954D0">
      <w:pPr>
        <w:pStyle w:val="Default"/>
        <w:rPr>
          <w:color w:val="auto"/>
          <w:sz w:val="26"/>
          <w:szCs w:val="26"/>
        </w:rPr>
      </w:pPr>
    </w:p>
    <w:p w:rsidRPr="001E24C8" w:rsidR="00E954D0" w:rsidP="001E24C8" w:rsidRDefault="00E954D0">
      <w:pPr>
        <w:pStyle w:val="Default"/>
        <w:rPr>
          <w:color w:val="auto"/>
          <w:sz w:val="26"/>
          <w:szCs w:val="26"/>
        </w:rPr>
      </w:pPr>
      <w:r w:rsidRPr="00A1688C">
        <w:rPr>
          <w:b/>
          <w:color w:val="auto"/>
          <w:sz w:val="26"/>
          <w:szCs w:val="26"/>
        </w:rPr>
        <w:t xml:space="preserve">Deprivation </w:t>
      </w:r>
      <w:r w:rsidRPr="00A1688C" w:rsidR="00D85488">
        <w:rPr>
          <w:b/>
          <w:color w:val="auto"/>
          <w:sz w:val="26"/>
          <w:szCs w:val="26"/>
        </w:rPr>
        <w:t>(20%)</w:t>
      </w:r>
      <w:r w:rsidR="00D85488">
        <w:rPr>
          <w:color w:val="auto"/>
          <w:sz w:val="26"/>
          <w:szCs w:val="26"/>
        </w:rPr>
        <w:t xml:space="preserve"> </w:t>
      </w:r>
      <w:r>
        <w:rPr>
          <w:color w:val="auto"/>
          <w:sz w:val="26"/>
          <w:szCs w:val="26"/>
        </w:rPr>
        <w:t xml:space="preserve">– half of the deprivation funding will be allocated on the basis of the number of children eligible for free school meals </w:t>
      </w:r>
      <w:r w:rsidR="00A75E59">
        <w:rPr>
          <w:color w:val="auto"/>
          <w:sz w:val="26"/>
          <w:szCs w:val="26"/>
        </w:rPr>
        <w:t xml:space="preserve">recorded in the school census </w:t>
      </w:r>
      <w:r>
        <w:rPr>
          <w:color w:val="auto"/>
          <w:sz w:val="26"/>
          <w:szCs w:val="26"/>
        </w:rPr>
        <w:t>and half on the number of children in bands A-F of the Income Deprivation Affecting Children Index (IDACI)</w:t>
      </w:r>
      <w:r w:rsidR="00F43E43">
        <w:rPr>
          <w:color w:val="auto"/>
          <w:sz w:val="26"/>
          <w:szCs w:val="26"/>
        </w:rPr>
        <w:t xml:space="preserve"> in the 2014 ONS population estimates.</w:t>
      </w:r>
    </w:p>
    <w:p w:rsidR="00404101" w:rsidP="001E24C8" w:rsidRDefault="00404101">
      <w:pPr>
        <w:pStyle w:val="Default"/>
        <w:rPr>
          <w:color w:val="auto"/>
          <w:sz w:val="26"/>
          <w:szCs w:val="26"/>
        </w:rPr>
      </w:pPr>
    </w:p>
    <w:p w:rsidR="00C97EC5" w:rsidP="00C97EC5" w:rsidRDefault="00C97EC5">
      <w:pPr>
        <w:pStyle w:val="Default"/>
        <w:rPr>
          <w:color w:val="auto"/>
          <w:sz w:val="26"/>
          <w:szCs w:val="26"/>
        </w:rPr>
      </w:pPr>
      <w:r>
        <w:rPr>
          <w:color w:val="auto"/>
          <w:sz w:val="26"/>
          <w:szCs w:val="26"/>
        </w:rPr>
        <w:t>In addition</w:t>
      </w:r>
      <w:r w:rsidR="00CD5406">
        <w:rPr>
          <w:color w:val="auto"/>
          <w:sz w:val="26"/>
          <w:szCs w:val="26"/>
        </w:rPr>
        <w:t xml:space="preserve">, </w:t>
      </w:r>
      <w:r>
        <w:rPr>
          <w:color w:val="auto"/>
          <w:sz w:val="26"/>
          <w:szCs w:val="26"/>
        </w:rPr>
        <w:t xml:space="preserve">funding for </w:t>
      </w:r>
      <w:r w:rsidR="00A1688C">
        <w:rPr>
          <w:color w:val="auto"/>
          <w:sz w:val="26"/>
          <w:szCs w:val="26"/>
        </w:rPr>
        <w:t>h</w:t>
      </w:r>
      <w:r>
        <w:rPr>
          <w:color w:val="auto"/>
          <w:sz w:val="26"/>
          <w:szCs w:val="26"/>
        </w:rPr>
        <w:t xml:space="preserve">ospital </w:t>
      </w:r>
      <w:r w:rsidR="00A1688C">
        <w:rPr>
          <w:color w:val="auto"/>
          <w:sz w:val="26"/>
          <w:szCs w:val="26"/>
        </w:rPr>
        <w:t>e</w:t>
      </w:r>
      <w:r>
        <w:rPr>
          <w:color w:val="auto"/>
          <w:sz w:val="26"/>
          <w:szCs w:val="26"/>
        </w:rPr>
        <w:t xml:space="preserve">ducation will be allocated on the basis of </w:t>
      </w:r>
      <w:r w:rsidRPr="00C97EC5">
        <w:rPr>
          <w:color w:val="auto"/>
          <w:sz w:val="26"/>
          <w:szCs w:val="26"/>
        </w:rPr>
        <w:t xml:space="preserve">historic spending as indicated in local authorities’ budget statements for 2016-17. </w:t>
      </w:r>
      <w:r>
        <w:rPr>
          <w:color w:val="auto"/>
          <w:sz w:val="26"/>
          <w:szCs w:val="26"/>
        </w:rPr>
        <w:t xml:space="preserve"> There will also be an import/export adjustment </w:t>
      </w:r>
      <w:r w:rsidR="00CD5406">
        <w:rPr>
          <w:color w:val="auto"/>
          <w:sz w:val="26"/>
          <w:szCs w:val="26"/>
        </w:rPr>
        <w:t xml:space="preserve">which recognises that </w:t>
      </w:r>
      <w:r>
        <w:rPr>
          <w:color w:val="auto"/>
          <w:sz w:val="26"/>
          <w:szCs w:val="26"/>
        </w:rPr>
        <w:t>LAs</w:t>
      </w:r>
      <w:r w:rsidRPr="00C97EC5">
        <w:rPr>
          <w:color w:val="auto"/>
          <w:sz w:val="26"/>
          <w:szCs w:val="26"/>
        </w:rPr>
        <w:t xml:space="preserve"> that import more pupils than they export face higher costs because the costs of the place funding and other core funding for schools and colleges in their area – in excess of the basic entitlement (i.e. £6,000 per annum) – are met from their high needs allocations, regardless of which local authorities the childr</w:t>
      </w:r>
      <w:r w:rsidR="00CD5406">
        <w:rPr>
          <w:color w:val="auto"/>
          <w:sz w:val="26"/>
          <w:szCs w:val="26"/>
        </w:rPr>
        <w:t>en taking those places live in.</w:t>
      </w:r>
    </w:p>
    <w:p w:rsidR="00C97EC5" w:rsidP="00C97EC5" w:rsidRDefault="00C97EC5">
      <w:pPr>
        <w:pStyle w:val="Default"/>
        <w:rPr>
          <w:color w:val="auto"/>
          <w:sz w:val="26"/>
          <w:szCs w:val="26"/>
        </w:rPr>
      </w:pPr>
    </w:p>
    <w:p w:rsidR="00C97EC5" w:rsidP="004B4AD9" w:rsidRDefault="00C97EC5">
      <w:pPr>
        <w:pStyle w:val="Default"/>
        <w:rPr>
          <w:color w:val="auto"/>
          <w:sz w:val="26"/>
          <w:szCs w:val="26"/>
        </w:rPr>
      </w:pPr>
      <w:r>
        <w:rPr>
          <w:color w:val="auto"/>
          <w:sz w:val="26"/>
          <w:szCs w:val="26"/>
        </w:rPr>
        <w:t xml:space="preserve">Finally, there will be an Area Cost Adjustment </w:t>
      </w:r>
      <w:r w:rsidR="00A1688C">
        <w:rPr>
          <w:color w:val="auto"/>
          <w:sz w:val="26"/>
          <w:szCs w:val="26"/>
        </w:rPr>
        <w:t xml:space="preserve">(ACA) </w:t>
      </w:r>
      <w:r>
        <w:rPr>
          <w:color w:val="auto"/>
          <w:sz w:val="26"/>
          <w:szCs w:val="26"/>
        </w:rPr>
        <w:t>which recognises the higher costs that some LA</w:t>
      </w:r>
      <w:r w:rsidR="00A1688C">
        <w:rPr>
          <w:color w:val="auto"/>
          <w:sz w:val="26"/>
          <w:szCs w:val="26"/>
        </w:rPr>
        <w:t>s</w:t>
      </w:r>
      <w:r>
        <w:rPr>
          <w:color w:val="auto"/>
          <w:sz w:val="26"/>
          <w:szCs w:val="26"/>
        </w:rPr>
        <w:t xml:space="preserve"> in the south</w:t>
      </w:r>
      <w:r w:rsidR="00EC125A">
        <w:rPr>
          <w:color w:val="auto"/>
          <w:sz w:val="26"/>
          <w:szCs w:val="26"/>
        </w:rPr>
        <w:t xml:space="preserve"> of the country </w:t>
      </w:r>
      <w:r>
        <w:rPr>
          <w:color w:val="auto"/>
          <w:sz w:val="26"/>
          <w:szCs w:val="26"/>
        </w:rPr>
        <w:t>face.</w:t>
      </w:r>
      <w:r w:rsidRPr="00C97EC5">
        <w:rPr>
          <w:color w:val="auto"/>
          <w:sz w:val="26"/>
          <w:szCs w:val="26"/>
        </w:rPr>
        <w:t xml:space="preserve"> </w:t>
      </w:r>
      <w:r w:rsidR="004B4AD9">
        <w:rPr>
          <w:color w:val="auto"/>
          <w:sz w:val="26"/>
          <w:szCs w:val="26"/>
        </w:rPr>
        <w:t xml:space="preserve">The ACA will use a </w:t>
      </w:r>
      <w:r w:rsidR="00A1688C">
        <w:rPr>
          <w:color w:val="auto"/>
          <w:sz w:val="26"/>
          <w:szCs w:val="26"/>
        </w:rPr>
        <w:t>“</w:t>
      </w:r>
      <w:r w:rsidR="004B4AD9">
        <w:rPr>
          <w:color w:val="auto"/>
          <w:sz w:val="26"/>
          <w:szCs w:val="26"/>
        </w:rPr>
        <w:t>hybrid</w:t>
      </w:r>
      <w:r w:rsidR="00A1688C">
        <w:rPr>
          <w:color w:val="auto"/>
          <w:sz w:val="26"/>
          <w:szCs w:val="26"/>
        </w:rPr>
        <w:t>”</w:t>
      </w:r>
      <w:r w:rsidR="004B4AD9">
        <w:rPr>
          <w:color w:val="auto"/>
          <w:sz w:val="26"/>
          <w:szCs w:val="26"/>
        </w:rPr>
        <w:t xml:space="preserve"> model </w:t>
      </w:r>
      <w:r w:rsidR="00CD5406">
        <w:rPr>
          <w:color w:val="auto"/>
          <w:sz w:val="26"/>
          <w:szCs w:val="26"/>
        </w:rPr>
        <w:t xml:space="preserve">that </w:t>
      </w:r>
      <w:r w:rsidRPr="00C97EC5">
        <w:rPr>
          <w:color w:val="auto"/>
          <w:sz w:val="26"/>
          <w:szCs w:val="26"/>
        </w:rPr>
        <w:t xml:space="preserve">takes into account general labour market trends, but </w:t>
      </w:r>
      <w:r w:rsidR="006865E7">
        <w:rPr>
          <w:color w:val="auto"/>
          <w:sz w:val="26"/>
          <w:szCs w:val="26"/>
        </w:rPr>
        <w:t xml:space="preserve">will </w:t>
      </w:r>
      <w:r w:rsidRPr="00C97EC5">
        <w:rPr>
          <w:color w:val="auto"/>
          <w:sz w:val="26"/>
          <w:szCs w:val="26"/>
        </w:rPr>
        <w:t xml:space="preserve">also </w:t>
      </w:r>
      <w:r w:rsidR="006865E7">
        <w:rPr>
          <w:color w:val="auto"/>
          <w:sz w:val="26"/>
          <w:szCs w:val="26"/>
        </w:rPr>
        <w:t xml:space="preserve">reflect </w:t>
      </w:r>
      <w:r w:rsidRPr="00C97EC5">
        <w:rPr>
          <w:color w:val="auto"/>
          <w:sz w:val="26"/>
          <w:szCs w:val="26"/>
        </w:rPr>
        <w:t xml:space="preserve">the particular salary variations in the teaching workforce. </w:t>
      </w:r>
    </w:p>
    <w:p w:rsidR="004B4AD9" w:rsidP="004B4AD9" w:rsidRDefault="004B4AD9">
      <w:pPr>
        <w:pStyle w:val="Default"/>
        <w:rPr>
          <w:color w:val="auto"/>
          <w:sz w:val="26"/>
          <w:szCs w:val="26"/>
        </w:rPr>
      </w:pPr>
    </w:p>
    <w:p w:rsidRPr="00C97EC5" w:rsidR="004B4AD9" w:rsidP="004B4AD9" w:rsidRDefault="004B4AD9">
      <w:pPr>
        <w:pStyle w:val="Default"/>
        <w:rPr>
          <w:color w:val="auto"/>
          <w:sz w:val="26"/>
          <w:szCs w:val="26"/>
        </w:rPr>
      </w:pPr>
      <w:r>
        <w:rPr>
          <w:color w:val="auto"/>
          <w:sz w:val="26"/>
          <w:szCs w:val="26"/>
        </w:rPr>
        <w:t xml:space="preserve">A diagrammatic summary of how the High Needs </w:t>
      </w:r>
      <w:r w:rsidR="00CD5406">
        <w:rPr>
          <w:color w:val="auto"/>
          <w:sz w:val="26"/>
          <w:szCs w:val="26"/>
        </w:rPr>
        <w:t xml:space="preserve">NFF </w:t>
      </w:r>
      <w:r>
        <w:rPr>
          <w:color w:val="auto"/>
          <w:sz w:val="26"/>
          <w:szCs w:val="26"/>
        </w:rPr>
        <w:t>will work is provided overleaf.</w:t>
      </w:r>
    </w:p>
    <w:p w:rsidR="005725F7" w:rsidP="001E24C8" w:rsidRDefault="006816F8">
      <w:pPr>
        <w:pStyle w:val="Default"/>
        <w:rPr>
          <w:color w:val="auto"/>
          <w:sz w:val="26"/>
          <w:szCs w:val="26"/>
        </w:rPr>
      </w:pPr>
      <w:r>
        <w:rPr>
          <w:noProof/>
          <w:color w:val="auto"/>
          <w:sz w:val="26"/>
          <w:szCs w:val="26"/>
          <w:lang w:eastAsia="en-GB"/>
        </w:rPr>
        <w:lastRenderedPageBreak/>
        <w:drawing>
          <wp:inline distT="0" distB="0" distL="0" distR="0">
            <wp:extent cx="6318913" cy="3330054"/>
            <wp:effectExtent l="0" t="0" r="5715"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19097" cy="3330151"/>
                    </a:xfrm>
                    <a:prstGeom prst="rect">
                      <a:avLst/>
                    </a:prstGeom>
                    <a:noFill/>
                    <a:ln>
                      <a:noFill/>
                    </a:ln>
                  </pic:spPr>
                </pic:pic>
              </a:graphicData>
            </a:graphic>
          </wp:inline>
        </w:drawing>
      </w:r>
    </w:p>
    <w:p w:rsidR="005725F7" w:rsidP="001E24C8" w:rsidRDefault="005725F7">
      <w:pPr>
        <w:pStyle w:val="Default"/>
        <w:rPr>
          <w:color w:val="auto"/>
          <w:sz w:val="26"/>
          <w:szCs w:val="26"/>
        </w:rPr>
      </w:pPr>
    </w:p>
    <w:p w:rsidRPr="00B04D7D" w:rsidR="00B04D7D" w:rsidP="00331809" w:rsidRDefault="00B04D7D">
      <w:pPr>
        <w:rPr>
          <w:rFonts w:cs="Arial"/>
          <w:b/>
          <w:sz w:val="26"/>
          <w:szCs w:val="26"/>
          <w:u w:val="single"/>
        </w:rPr>
      </w:pPr>
      <w:r w:rsidRPr="00B04D7D">
        <w:rPr>
          <w:rFonts w:cs="Arial"/>
          <w:b/>
          <w:sz w:val="26"/>
          <w:szCs w:val="26"/>
        </w:rPr>
        <w:t>2.2</w:t>
      </w:r>
      <w:r w:rsidRPr="00B04D7D">
        <w:rPr>
          <w:rFonts w:cs="Arial"/>
          <w:b/>
          <w:sz w:val="26"/>
          <w:szCs w:val="26"/>
        </w:rPr>
        <w:tab/>
      </w:r>
      <w:r w:rsidRPr="00B04D7D">
        <w:rPr>
          <w:rFonts w:cs="Arial"/>
          <w:b/>
          <w:sz w:val="26"/>
          <w:szCs w:val="26"/>
          <w:u w:val="single"/>
        </w:rPr>
        <w:t>Impact on Derbyshire</w:t>
      </w:r>
    </w:p>
    <w:p w:rsidR="00B04D7D" w:rsidP="00331809" w:rsidRDefault="00B04D7D">
      <w:pPr>
        <w:rPr>
          <w:rFonts w:cs="Arial"/>
          <w:sz w:val="26"/>
          <w:szCs w:val="26"/>
        </w:rPr>
      </w:pPr>
    </w:p>
    <w:p w:rsidRPr="005E14A1" w:rsidR="00331809" w:rsidP="00331809" w:rsidRDefault="00B04D7D">
      <w:pPr>
        <w:rPr>
          <w:rFonts w:cs="Arial"/>
          <w:sz w:val="26"/>
          <w:szCs w:val="26"/>
        </w:rPr>
      </w:pPr>
      <w:r>
        <w:rPr>
          <w:rFonts w:cs="Arial"/>
          <w:sz w:val="26"/>
          <w:szCs w:val="26"/>
        </w:rPr>
        <w:t>Had the NFF been in place for 2016-17 D</w:t>
      </w:r>
      <w:r w:rsidRPr="005E14A1" w:rsidR="00331809">
        <w:rPr>
          <w:rFonts w:cs="Arial"/>
          <w:sz w:val="26"/>
          <w:szCs w:val="26"/>
        </w:rPr>
        <w:t xml:space="preserve">erbyshire’s </w:t>
      </w:r>
      <w:r>
        <w:rPr>
          <w:rFonts w:cs="Arial"/>
          <w:sz w:val="26"/>
          <w:szCs w:val="26"/>
        </w:rPr>
        <w:t xml:space="preserve">allocation would have been calculated </w:t>
      </w:r>
      <w:r w:rsidRPr="005E14A1" w:rsidR="00331809">
        <w:rPr>
          <w:rFonts w:cs="Arial"/>
          <w:sz w:val="26"/>
          <w:szCs w:val="26"/>
        </w:rPr>
        <w:t>as follows:</w:t>
      </w:r>
    </w:p>
    <w:p w:rsidRPr="005E14A1" w:rsidR="00331809" w:rsidP="00331809" w:rsidRDefault="00331809">
      <w:pPr>
        <w:rPr>
          <w:rFonts w:cs="Arial"/>
          <w:sz w:val="26"/>
          <w:szCs w:val="26"/>
        </w:rPr>
      </w:pPr>
    </w:p>
    <w:tbl>
      <w:tblPr>
        <w:tblStyle w:val="TableGrid"/>
        <w:tblW w:w="10897" w:type="dxa"/>
        <w:tblInd w:w="-318" w:type="dxa"/>
        <w:tblLook w:val="04A0" w:firstRow="1" w:lastRow="0" w:firstColumn="1" w:lastColumn="0" w:noHBand="0" w:noVBand="1"/>
      </w:tblPr>
      <w:tblGrid>
        <w:gridCol w:w="6522"/>
        <w:gridCol w:w="1276"/>
        <w:gridCol w:w="1540"/>
        <w:gridCol w:w="1559"/>
      </w:tblGrid>
      <w:tr w:rsidRPr="005E14A1" w:rsidR="00331809" w:rsidTr="00331809">
        <w:tc>
          <w:tcPr>
            <w:tcW w:w="6522" w:type="dxa"/>
          </w:tcPr>
          <w:p w:rsidRPr="005E14A1" w:rsidR="00331809" w:rsidP="00EE3C4F" w:rsidRDefault="00331809">
            <w:pPr>
              <w:rPr>
                <w:rFonts w:ascii="Arial" w:hAnsi="Arial" w:cs="Arial"/>
                <w:b/>
                <w:sz w:val="26"/>
                <w:szCs w:val="26"/>
              </w:rPr>
            </w:pPr>
          </w:p>
          <w:p w:rsidRPr="005E14A1" w:rsidR="00331809" w:rsidP="00EE3C4F" w:rsidRDefault="00331809">
            <w:pPr>
              <w:rPr>
                <w:rFonts w:ascii="Arial" w:hAnsi="Arial" w:cs="Arial"/>
                <w:b/>
                <w:sz w:val="26"/>
                <w:szCs w:val="26"/>
              </w:rPr>
            </w:pPr>
            <w:r w:rsidRPr="005E14A1">
              <w:rPr>
                <w:rFonts w:ascii="Arial" w:hAnsi="Arial" w:cs="Arial"/>
                <w:b/>
                <w:sz w:val="26"/>
                <w:szCs w:val="26"/>
              </w:rPr>
              <w:t>Indicator</w:t>
            </w:r>
          </w:p>
        </w:tc>
        <w:tc>
          <w:tcPr>
            <w:tcW w:w="1276" w:type="dxa"/>
          </w:tcPr>
          <w:p w:rsidRPr="005E14A1" w:rsidR="00331809" w:rsidP="00EE3C4F" w:rsidRDefault="00331809">
            <w:pPr>
              <w:jc w:val="right"/>
              <w:rPr>
                <w:rFonts w:ascii="Arial" w:hAnsi="Arial" w:cs="Arial"/>
                <w:b/>
                <w:sz w:val="26"/>
                <w:szCs w:val="26"/>
              </w:rPr>
            </w:pPr>
          </w:p>
          <w:p w:rsidRPr="005E14A1" w:rsidR="00331809" w:rsidP="00EE3C4F" w:rsidRDefault="00331809">
            <w:pPr>
              <w:jc w:val="right"/>
              <w:rPr>
                <w:rFonts w:ascii="Arial" w:hAnsi="Arial" w:cs="Arial"/>
                <w:b/>
                <w:sz w:val="26"/>
                <w:szCs w:val="26"/>
              </w:rPr>
            </w:pPr>
            <w:r w:rsidRPr="005E14A1">
              <w:rPr>
                <w:rFonts w:ascii="Arial" w:hAnsi="Arial" w:cs="Arial"/>
                <w:b/>
                <w:sz w:val="26"/>
                <w:szCs w:val="26"/>
              </w:rPr>
              <w:t>Count</w:t>
            </w:r>
          </w:p>
        </w:tc>
        <w:tc>
          <w:tcPr>
            <w:tcW w:w="1540" w:type="dxa"/>
          </w:tcPr>
          <w:p w:rsidRPr="005E14A1" w:rsidR="00331809" w:rsidP="00EE3C4F" w:rsidRDefault="00331809">
            <w:pPr>
              <w:jc w:val="right"/>
              <w:rPr>
                <w:rFonts w:ascii="Arial" w:hAnsi="Arial" w:cs="Arial"/>
                <w:b/>
                <w:sz w:val="26"/>
                <w:szCs w:val="26"/>
              </w:rPr>
            </w:pPr>
            <w:r w:rsidRPr="005E14A1">
              <w:rPr>
                <w:rFonts w:ascii="Arial" w:hAnsi="Arial" w:cs="Arial"/>
                <w:b/>
                <w:sz w:val="26"/>
                <w:szCs w:val="26"/>
              </w:rPr>
              <w:t>Multiplier  (£)</w:t>
            </w:r>
          </w:p>
        </w:tc>
        <w:tc>
          <w:tcPr>
            <w:tcW w:w="1559" w:type="dxa"/>
          </w:tcPr>
          <w:p w:rsidRPr="005E14A1" w:rsidR="00331809" w:rsidP="00EE3C4F" w:rsidRDefault="00331809">
            <w:pPr>
              <w:jc w:val="right"/>
              <w:rPr>
                <w:rFonts w:ascii="Arial" w:hAnsi="Arial" w:cs="Arial"/>
                <w:b/>
                <w:sz w:val="26"/>
                <w:szCs w:val="26"/>
              </w:rPr>
            </w:pPr>
            <w:r w:rsidRPr="005E14A1">
              <w:rPr>
                <w:rFonts w:ascii="Arial" w:hAnsi="Arial" w:cs="Arial"/>
                <w:b/>
                <w:sz w:val="26"/>
                <w:szCs w:val="26"/>
              </w:rPr>
              <w:t>Allocation (£m)</w:t>
            </w:r>
          </w:p>
        </w:tc>
      </w:tr>
      <w:tr w:rsidRPr="005E14A1" w:rsidR="00331809" w:rsidTr="00331809">
        <w:tc>
          <w:tcPr>
            <w:tcW w:w="6522" w:type="dxa"/>
          </w:tcPr>
          <w:p w:rsidRPr="005E14A1" w:rsidR="00331809" w:rsidP="00C97EC5" w:rsidRDefault="00331809">
            <w:pPr>
              <w:rPr>
                <w:rFonts w:ascii="Arial" w:hAnsi="Arial" w:cs="Arial"/>
                <w:sz w:val="26"/>
                <w:szCs w:val="26"/>
              </w:rPr>
            </w:pPr>
            <w:r w:rsidRPr="005E14A1">
              <w:rPr>
                <w:rFonts w:ascii="Arial" w:hAnsi="Arial" w:cs="Arial"/>
                <w:sz w:val="26"/>
                <w:szCs w:val="26"/>
              </w:rPr>
              <w:t xml:space="preserve">Basic </w:t>
            </w:r>
            <w:r w:rsidR="00C97EC5">
              <w:rPr>
                <w:rFonts w:ascii="Arial" w:hAnsi="Arial" w:cs="Arial"/>
                <w:sz w:val="26"/>
                <w:szCs w:val="26"/>
              </w:rPr>
              <w:t xml:space="preserve">entitlement </w:t>
            </w:r>
            <w:r w:rsidRPr="005E14A1">
              <w:rPr>
                <w:rFonts w:ascii="Arial" w:hAnsi="Arial" w:cs="Arial"/>
                <w:sz w:val="26"/>
                <w:szCs w:val="26"/>
              </w:rPr>
              <w:t>– no. pupils in spec</w:t>
            </w:r>
            <w:r w:rsidR="00C97EC5">
              <w:rPr>
                <w:rFonts w:ascii="Arial" w:hAnsi="Arial" w:cs="Arial"/>
                <w:sz w:val="26"/>
                <w:szCs w:val="26"/>
              </w:rPr>
              <w:t>.</w:t>
            </w:r>
            <w:r w:rsidRPr="005E14A1">
              <w:rPr>
                <w:rFonts w:ascii="Arial" w:hAnsi="Arial" w:cs="Arial"/>
                <w:sz w:val="26"/>
                <w:szCs w:val="26"/>
              </w:rPr>
              <w:t xml:space="preserve"> schools/post 16</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978</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4,000.00</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3.912</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Population aged 2-18</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145,476</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110.21</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16.033</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Health &amp; Disability – No. children with bad health</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670</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2,860.00</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1.916</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Health &amp; Disability – No. children claiming DLA</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4,840</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519.67</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2.515</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Deprivation – Free school meals (current)</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13,406</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214.93</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2.881</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Deprivation – IDACI Band F</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15,381</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32.33</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0.497</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Deprivation – IDACI Band E</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7,658</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42.14</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0.323</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Deprivation – IDACI Band D</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8,798</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59.14</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0.520</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Deprivation – IDACI Band C</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8,162</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57.95</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0.473</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Deprivation – IDACI Band B</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8,035</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67.72</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0.544</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Deprivation – IDACI Band A</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765</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96.04</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0.074</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Low Attainment @ KS2</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1,660</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1,306.40</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2.169</w:t>
            </w:r>
          </w:p>
        </w:tc>
      </w:tr>
      <w:tr w:rsidRPr="005E14A1" w:rsidR="00331809" w:rsidTr="00331809">
        <w:tc>
          <w:tcPr>
            <w:tcW w:w="6522" w:type="dxa"/>
            <w:tcBorders>
              <w:bottom w:val="single" w:color="auto" w:sz="4" w:space="0"/>
            </w:tcBorders>
          </w:tcPr>
          <w:p w:rsidRPr="005E14A1" w:rsidR="00331809" w:rsidP="00EE3C4F" w:rsidRDefault="00331809">
            <w:pPr>
              <w:rPr>
                <w:rFonts w:ascii="Arial" w:hAnsi="Arial" w:cs="Arial"/>
                <w:sz w:val="26"/>
                <w:szCs w:val="26"/>
              </w:rPr>
            </w:pPr>
            <w:r w:rsidRPr="005E14A1">
              <w:rPr>
                <w:rFonts w:ascii="Arial" w:hAnsi="Arial" w:cs="Arial"/>
                <w:sz w:val="26"/>
                <w:szCs w:val="26"/>
              </w:rPr>
              <w:t>Low Attainment @ KS4</w:t>
            </w:r>
          </w:p>
        </w:tc>
        <w:tc>
          <w:tcPr>
            <w:tcW w:w="1276" w:type="dxa"/>
            <w:tcBorders>
              <w:bottom w:val="single" w:color="auto" w:sz="4" w:space="0"/>
            </w:tcBorders>
          </w:tcPr>
          <w:p w:rsidRPr="005E14A1" w:rsidR="00331809" w:rsidP="00EE3C4F" w:rsidRDefault="00331809">
            <w:pPr>
              <w:jc w:val="right"/>
              <w:rPr>
                <w:rFonts w:ascii="Arial" w:hAnsi="Arial" w:cs="Arial"/>
                <w:sz w:val="26"/>
                <w:szCs w:val="26"/>
              </w:rPr>
            </w:pPr>
            <w:r w:rsidRPr="005E14A1">
              <w:rPr>
                <w:rFonts w:ascii="Arial" w:hAnsi="Arial" w:cs="Arial"/>
                <w:sz w:val="26"/>
                <w:szCs w:val="26"/>
              </w:rPr>
              <w:t>1,951</w:t>
            </w:r>
          </w:p>
        </w:tc>
        <w:tc>
          <w:tcPr>
            <w:tcW w:w="1540" w:type="dxa"/>
            <w:tcBorders>
              <w:bottom w:val="single" w:color="auto" w:sz="4" w:space="0"/>
            </w:tcBorders>
          </w:tcPr>
          <w:p w:rsidRPr="005E14A1" w:rsidR="00331809" w:rsidP="00EE3C4F" w:rsidRDefault="00331809">
            <w:pPr>
              <w:jc w:val="right"/>
              <w:rPr>
                <w:rFonts w:ascii="Arial" w:hAnsi="Arial" w:cs="Arial"/>
                <w:sz w:val="26"/>
                <w:szCs w:val="26"/>
              </w:rPr>
            </w:pPr>
            <w:r w:rsidRPr="005E14A1">
              <w:rPr>
                <w:rFonts w:ascii="Arial" w:hAnsi="Arial" w:cs="Arial"/>
                <w:sz w:val="26"/>
                <w:szCs w:val="26"/>
              </w:rPr>
              <w:t>1,345.68</w:t>
            </w:r>
          </w:p>
        </w:tc>
        <w:tc>
          <w:tcPr>
            <w:tcW w:w="1559" w:type="dxa"/>
            <w:tcBorders>
              <w:bottom w:val="single" w:color="auto" w:sz="4" w:space="0"/>
            </w:tcBorders>
          </w:tcPr>
          <w:p w:rsidRPr="005E14A1" w:rsidR="00331809" w:rsidP="00EE3C4F" w:rsidRDefault="00331809">
            <w:pPr>
              <w:jc w:val="right"/>
              <w:rPr>
                <w:rFonts w:ascii="Arial" w:hAnsi="Arial" w:cs="Arial"/>
                <w:sz w:val="26"/>
                <w:szCs w:val="26"/>
              </w:rPr>
            </w:pPr>
            <w:r w:rsidRPr="005E14A1">
              <w:rPr>
                <w:rFonts w:ascii="Arial" w:hAnsi="Arial" w:cs="Arial"/>
                <w:sz w:val="26"/>
                <w:szCs w:val="26"/>
              </w:rPr>
              <w:t>2.625</w:t>
            </w:r>
          </w:p>
        </w:tc>
      </w:tr>
      <w:tr w:rsidRPr="005E14A1" w:rsidR="00331809" w:rsidTr="00331809">
        <w:tc>
          <w:tcPr>
            <w:tcW w:w="6522" w:type="dxa"/>
            <w:shd w:val="clear" w:color="D99594" w:themeColor="accent2" w:themeTint="99" w:fill="E5B8B7" w:themeFill="accent2" w:themeFillTint="66"/>
          </w:tcPr>
          <w:p w:rsidRPr="005E14A1" w:rsidR="00331809" w:rsidP="00EE3C4F" w:rsidRDefault="00331809">
            <w:pPr>
              <w:rPr>
                <w:rFonts w:ascii="Arial" w:hAnsi="Arial" w:cs="Arial"/>
                <w:b/>
                <w:sz w:val="26"/>
                <w:szCs w:val="26"/>
              </w:rPr>
            </w:pPr>
            <w:r w:rsidRPr="005E14A1">
              <w:rPr>
                <w:rFonts w:ascii="Arial" w:hAnsi="Arial" w:cs="Arial"/>
                <w:b/>
                <w:sz w:val="26"/>
                <w:szCs w:val="26"/>
              </w:rPr>
              <w:t>Historic spend</w:t>
            </w:r>
          </w:p>
        </w:tc>
        <w:tc>
          <w:tcPr>
            <w:tcW w:w="1276" w:type="dxa"/>
            <w:shd w:val="clear" w:color="D99594" w:themeColor="accent2" w:themeTint="99" w:fill="E5B8B7" w:themeFill="accent2" w:themeFillTint="66"/>
          </w:tcPr>
          <w:p w:rsidRPr="005E14A1" w:rsidR="00331809" w:rsidP="00EE3C4F" w:rsidRDefault="00331809">
            <w:pPr>
              <w:jc w:val="right"/>
              <w:rPr>
                <w:rFonts w:ascii="Arial" w:hAnsi="Arial" w:cs="Arial"/>
                <w:b/>
                <w:sz w:val="26"/>
                <w:szCs w:val="26"/>
              </w:rPr>
            </w:pPr>
            <w:r w:rsidRPr="005E14A1">
              <w:rPr>
                <w:rFonts w:ascii="Arial" w:hAnsi="Arial" w:cs="Arial"/>
                <w:b/>
                <w:sz w:val="26"/>
                <w:szCs w:val="26"/>
              </w:rPr>
              <w:t>-</w:t>
            </w:r>
          </w:p>
        </w:tc>
        <w:tc>
          <w:tcPr>
            <w:tcW w:w="1540" w:type="dxa"/>
            <w:shd w:val="clear" w:color="D99594" w:themeColor="accent2" w:themeTint="99" w:fill="E5B8B7" w:themeFill="accent2" w:themeFillTint="66"/>
          </w:tcPr>
          <w:p w:rsidRPr="005E14A1" w:rsidR="00331809" w:rsidP="00EE3C4F" w:rsidRDefault="00331809">
            <w:pPr>
              <w:jc w:val="right"/>
              <w:rPr>
                <w:rFonts w:ascii="Arial" w:hAnsi="Arial" w:cs="Arial"/>
                <w:b/>
                <w:sz w:val="26"/>
                <w:szCs w:val="26"/>
              </w:rPr>
            </w:pPr>
            <w:r w:rsidRPr="005E14A1">
              <w:rPr>
                <w:rFonts w:ascii="Arial" w:hAnsi="Arial" w:cs="Arial"/>
                <w:b/>
                <w:sz w:val="26"/>
                <w:szCs w:val="26"/>
              </w:rPr>
              <w:t>-</w:t>
            </w:r>
          </w:p>
        </w:tc>
        <w:tc>
          <w:tcPr>
            <w:tcW w:w="1559" w:type="dxa"/>
            <w:shd w:val="clear" w:color="D99594" w:themeColor="accent2" w:themeTint="99" w:fill="E5B8B7" w:themeFill="accent2" w:themeFillTint="66"/>
          </w:tcPr>
          <w:p w:rsidRPr="005E14A1" w:rsidR="00331809" w:rsidP="00EE3C4F" w:rsidRDefault="00331809">
            <w:pPr>
              <w:jc w:val="right"/>
              <w:rPr>
                <w:rFonts w:ascii="Arial" w:hAnsi="Arial" w:cs="Arial"/>
                <w:b/>
                <w:sz w:val="26"/>
                <w:szCs w:val="26"/>
              </w:rPr>
            </w:pPr>
            <w:r w:rsidRPr="005E14A1">
              <w:rPr>
                <w:rFonts w:ascii="Arial" w:hAnsi="Arial" w:cs="Arial"/>
                <w:b/>
                <w:sz w:val="26"/>
                <w:szCs w:val="26"/>
              </w:rPr>
              <w:t>32.292</w:t>
            </w:r>
          </w:p>
        </w:tc>
      </w:tr>
      <w:tr w:rsidRPr="005E14A1" w:rsidR="00331809" w:rsidTr="00331809">
        <w:tc>
          <w:tcPr>
            <w:tcW w:w="6522" w:type="dxa"/>
            <w:shd w:val="clear" w:color="D99594" w:themeColor="accent2" w:themeTint="99" w:fill="E5B8B7" w:themeFill="accent2" w:themeFillTint="66"/>
          </w:tcPr>
          <w:p w:rsidRPr="005E14A1" w:rsidR="00331809" w:rsidP="00EE3C4F" w:rsidRDefault="00331809">
            <w:pPr>
              <w:rPr>
                <w:rFonts w:ascii="Arial" w:hAnsi="Arial" w:cs="Arial"/>
                <w:b/>
                <w:sz w:val="26"/>
                <w:szCs w:val="26"/>
              </w:rPr>
            </w:pPr>
            <w:r w:rsidRPr="005E14A1">
              <w:rPr>
                <w:rFonts w:ascii="Arial" w:hAnsi="Arial" w:cs="Arial"/>
                <w:b/>
                <w:sz w:val="26"/>
                <w:szCs w:val="26"/>
              </w:rPr>
              <w:t>Funding floor</w:t>
            </w:r>
          </w:p>
        </w:tc>
        <w:tc>
          <w:tcPr>
            <w:tcW w:w="1276" w:type="dxa"/>
            <w:shd w:val="clear" w:color="D99594" w:themeColor="accent2" w:themeTint="99" w:fill="E5B8B7" w:themeFill="accent2" w:themeFillTint="66"/>
          </w:tcPr>
          <w:p w:rsidRPr="005E14A1" w:rsidR="00331809" w:rsidP="00EE3C4F" w:rsidRDefault="00331809">
            <w:pPr>
              <w:jc w:val="right"/>
              <w:rPr>
                <w:rFonts w:ascii="Arial" w:hAnsi="Arial" w:cs="Arial"/>
                <w:b/>
                <w:sz w:val="26"/>
                <w:szCs w:val="26"/>
              </w:rPr>
            </w:pPr>
            <w:r w:rsidRPr="005E14A1">
              <w:rPr>
                <w:rFonts w:ascii="Arial" w:hAnsi="Arial" w:cs="Arial"/>
                <w:b/>
                <w:sz w:val="26"/>
                <w:szCs w:val="26"/>
              </w:rPr>
              <w:t>-</w:t>
            </w:r>
          </w:p>
        </w:tc>
        <w:tc>
          <w:tcPr>
            <w:tcW w:w="1540" w:type="dxa"/>
            <w:shd w:val="clear" w:color="D99594" w:themeColor="accent2" w:themeTint="99" w:fill="E5B8B7" w:themeFill="accent2" w:themeFillTint="66"/>
          </w:tcPr>
          <w:p w:rsidRPr="005E14A1" w:rsidR="00331809" w:rsidP="00EE3C4F" w:rsidRDefault="00331809">
            <w:pPr>
              <w:jc w:val="right"/>
              <w:rPr>
                <w:rFonts w:ascii="Arial" w:hAnsi="Arial" w:cs="Arial"/>
                <w:b/>
                <w:sz w:val="26"/>
                <w:szCs w:val="26"/>
              </w:rPr>
            </w:pPr>
            <w:r w:rsidRPr="005E14A1">
              <w:rPr>
                <w:rFonts w:ascii="Arial" w:hAnsi="Arial" w:cs="Arial"/>
                <w:b/>
                <w:sz w:val="26"/>
                <w:szCs w:val="26"/>
              </w:rPr>
              <w:t>-</w:t>
            </w:r>
          </w:p>
        </w:tc>
        <w:tc>
          <w:tcPr>
            <w:tcW w:w="1559" w:type="dxa"/>
            <w:shd w:val="clear" w:color="D99594" w:themeColor="accent2" w:themeTint="99" w:fill="E5B8B7" w:themeFill="accent2" w:themeFillTint="66"/>
          </w:tcPr>
          <w:p w:rsidRPr="005E14A1" w:rsidR="00331809" w:rsidP="00EE3C4F" w:rsidRDefault="00331809">
            <w:pPr>
              <w:jc w:val="right"/>
              <w:rPr>
                <w:rFonts w:ascii="Arial" w:hAnsi="Arial" w:cs="Arial"/>
                <w:b/>
                <w:sz w:val="26"/>
                <w:szCs w:val="26"/>
              </w:rPr>
            </w:pPr>
            <w:r w:rsidRPr="005E14A1">
              <w:rPr>
                <w:rFonts w:ascii="Arial" w:hAnsi="Arial" w:cs="Arial"/>
                <w:b/>
                <w:sz w:val="26"/>
                <w:szCs w:val="26"/>
              </w:rPr>
              <w:t>1.722</w:t>
            </w:r>
          </w:p>
        </w:tc>
      </w:tr>
      <w:tr w:rsidRPr="005E14A1" w:rsidR="00331809" w:rsidTr="00331809">
        <w:tc>
          <w:tcPr>
            <w:tcW w:w="6522" w:type="dxa"/>
          </w:tcPr>
          <w:p w:rsidRPr="005E14A1" w:rsidR="00331809" w:rsidP="00EE3C4F" w:rsidRDefault="00331809">
            <w:pPr>
              <w:rPr>
                <w:rFonts w:ascii="Arial" w:hAnsi="Arial" w:cs="Arial"/>
                <w:sz w:val="26"/>
                <w:szCs w:val="26"/>
              </w:rPr>
            </w:pPr>
            <w:r w:rsidRPr="005E14A1">
              <w:rPr>
                <w:rFonts w:ascii="Arial" w:hAnsi="Arial" w:cs="Arial"/>
                <w:sz w:val="26"/>
                <w:szCs w:val="26"/>
              </w:rPr>
              <w:t>Hospital Education</w:t>
            </w:r>
          </w:p>
        </w:tc>
        <w:tc>
          <w:tcPr>
            <w:tcW w:w="1276"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w:t>
            </w:r>
          </w:p>
        </w:tc>
        <w:tc>
          <w:tcPr>
            <w:tcW w:w="1540"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w:t>
            </w:r>
          </w:p>
        </w:tc>
        <w:tc>
          <w:tcPr>
            <w:tcW w:w="1559" w:type="dxa"/>
          </w:tcPr>
          <w:p w:rsidRPr="005E14A1" w:rsidR="00331809" w:rsidP="00EE3C4F" w:rsidRDefault="00331809">
            <w:pPr>
              <w:jc w:val="right"/>
              <w:rPr>
                <w:rFonts w:ascii="Arial" w:hAnsi="Arial" w:cs="Arial"/>
                <w:sz w:val="26"/>
                <w:szCs w:val="26"/>
              </w:rPr>
            </w:pPr>
            <w:r w:rsidRPr="005E14A1">
              <w:rPr>
                <w:rFonts w:ascii="Arial" w:hAnsi="Arial" w:cs="Arial"/>
                <w:sz w:val="26"/>
                <w:szCs w:val="26"/>
              </w:rPr>
              <w:t>0.050</w:t>
            </w:r>
          </w:p>
        </w:tc>
      </w:tr>
      <w:tr w:rsidRPr="005E14A1" w:rsidR="00331809" w:rsidTr="00331809">
        <w:tc>
          <w:tcPr>
            <w:tcW w:w="6522" w:type="dxa"/>
          </w:tcPr>
          <w:p w:rsidRPr="005E14A1" w:rsidR="00331809" w:rsidP="00EE3C4F" w:rsidRDefault="00331809">
            <w:pPr>
              <w:rPr>
                <w:rFonts w:ascii="Arial" w:hAnsi="Arial" w:cs="Arial"/>
                <w:b/>
                <w:sz w:val="26"/>
                <w:szCs w:val="26"/>
              </w:rPr>
            </w:pPr>
            <w:r w:rsidRPr="005E14A1">
              <w:rPr>
                <w:rFonts w:ascii="Arial" w:hAnsi="Arial" w:cs="Arial"/>
                <w:b/>
                <w:sz w:val="26"/>
                <w:szCs w:val="26"/>
              </w:rPr>
              <w:t xml:space="preserve">National Funding Formula High Needs Allocation </w:t>
            </w:r>
          </w:p>
        </w:tc>
        <w:tc>
          <w:tcPr>
            <w:tcW w:w="1276" w:type="dxa"/>
          </w:tcPr>
          <w:p w:rsidRPr="005E14A1" w:rsidR="00331809" w:rsidP="00EE3C4F" w:rsidRDefault="00331809">
            <w:pPr>
              <w:jc w:val="right"/>
              <w:rPr>
                <w:rFonts w:ascii="Arial" w:hAnsi="Arial" w:cs="Arial"/>
                <w:b/>
                <w:sz w:val="26"/>
                <w:szCs w:val="26"/>
              </w:rPr>
            </w:pPr>
          </w:p>
        </w:tc>
        <w:tc>
          <w:tcPr>
            <w:tcW w:w="1540" w:type="dxa"/>
          </w:tcPr>
          <w:p w:rsidRPr="005E14A1" w:rsidR="00331809" w:rsidP="00EE3C4F" w:rsidRDefault="00331809">
            <w:pPr>
              <w:jc w:val="right"/>
              <w:rPr>
                <w:rFonts w:ascii="Arial" w:hAnsi="Arial" w:cs="Arial"/>
                <w:b/>
                <w:sz w:val="26"/>
                <w:szCs w:val="26"/>
              </w:rPr>
            </w:pPr>
          </w:p>
        </w:tc>
        <w:tc>
          <w:tcPr>
            <w:tcW w:w="1559" w:type="dxa"/>
          </w:tcPr>
          <w:p w:rsidRPr="005E14A1" w:rsidR="00331809" w:rsidP="00EE3C4F" w:rsidRDefault="00331809">
            <w:pPr>
              <w:jc w:val="right"/>
              <w:rPr>
                <w:rFonts w:ascii="Arial" w:hAnsi="Arial" w:cs="Arial"/>
                <w:b/>
                <w:sz w:val="26"/>
                <w:szCs w:val="26"/>
              </w:rPr>
            </w:pPr>
            <w:r w:rsidRPr="005E14A1">
              <w:rPr>
                <w:rFonts w:ascii="Arial" w:hAnsi="Arial" w:cs="Arial"/>
                <w:b/>
                <w:sz w:val="26"/>
                <w:szCs w:val="26"/>
              </w:rPr>
              <w:t>68.546</w:t>
            </w:r>
          </w:p>
        </w:tc>
      </w:tr>
    </w:tbl>
    <w:p w:rsidRPr="005E14A1" w:rsidR="00CE73DD" w:rsidP="00EC3F61" w:rsidRDefault="00CE73DD">
      <w:pPr>
        <w:rPr>
          <w:rFonts w:cs="Arial"/>
          <w:sz w:val="26"/>
          <w:szCs w:val="26"/>
        </w:rPr>
      </w:pPr>
    </w:p>
    <w:p w:rsidR="00B04D7D" w:rsidP="00331809" w:rsidRDefault="00331809">
      <w:pPr>
        <w:rPr>
          <w:rFonts w:cs="Arial"/>
          <w:sz w:val="26"/>
          <w:szCs w:val="26"/>
        </w:rPr>
      </w:pPr>
      <w:r w:rsidRPr="005E14A1">
        <w:rPr>
          <w:rFonts w:cs="Arial"/>
          <w:sz w:val="26"/>
          <w:szCs w:val="26"/>
        </w:rPr>
        <w:t xml:space="preserve">Derbyshire’s allocation has been protected by the funding floor </w:t>
      </w:r>
      <w:r w:rsidR="00695953">
        <w:rPr>
          <w:rFonts w:cs="Arial"/>
          <w:sz w:val="26"/>
          <w:szCs w:val="26"/>
        </w:rPr>
        <w:t>of £1.722m</w:t>
      </w:r>
      <w:r w:rsidR="002C63F4">
        <w:rPr>
          <w:rFonts w:cs="Arial"/>
          <w:sz w:val="26"/>
          <w:szCs w:val="26"/>
        </w:rPr>
        <w:t xml:space="preserve">, </w:t>
      </w:r>
      <w:r w:rsidRPr="005E14A1">
        <w:rPr>
          <w:rFonts w:cs="Arial"/>
          <w:sz w:val="26"/>
          <w:szCs w:val="26"/>
        </w:rPr>
        <w:t>78 of 150 LAs received this protection</w:t>
      </w:r>
      <w:r w:rsidR="002C63F4">
        <w:rPr>
          <w:rFonts w:cs="Arial"/>
          <w:sz w:val="26"/>
          <w:szCs w:val="26"/>
        </w:rPr>
        <w:t xml:space="preserve"> and our </w:t>
      </w:r>
      <w:r w:rsidR="005E14A1">
        <w:rPr>
          <w:rFonts w:cs="Arial"/>
          <w:sz w:val="26"/>
          <w:szCs w:val="26"/>
        </w:rPr>
        <w:t xml:space="preserve">floor allocation, expressed as a percentage of overall funding, is the </w:t>
      </w:r>
      <w:r w:rsidRPr="005E14A1">
        <w:rPr>
          <w:rFonts w:cs="Arial"/>
          <w:sz w:val="26"/>
          <w:szCs w:val="26"/>
        </w:rPr>
        <w:t>15</w:t>
      </w:r>
      <w:r w:rsidRPr="005E14A1">
        <w:rPr>
          <w:rFonts w:cs="Arial"/>
          <w:sz w:val="26"/>
          <w:szCs w:val="26"/>
          <w:vertAlign w:val="superscript"/>
        </w:rPr>
        <w:t>th</w:t>
      </w:r>
      <w:r w:rsidRPr="005E14A1">
        <w:rPr>
          <w:rFonts w:cs="Arial"/>
          <w:sz w:val="26"/>
          <w:szCs w:val="26"/>
        </w:rPr>
        <w:t xml:space="preserve"> lowest of the 78</w:t>
      </w:r>
      <w:r w:rsidR="005E14A1">
        <w:rPr>
          <w:rFonts w:cs="Arial"/>
          <w:sz w:val="26"/>
          <w:szCs w:val="26"/>
        </w:rPr>
        <w:t xml:space="preserve"> LAs</w:t>
      </w:r>
      <w:r w:rsidRPr="005E14A1">
        <w:rPr>
          <w:rFonts w:cs="Arial"/>
          <w:sz w:val="26"/>
          <w:szCs w:val="26"/>
        </w:rPr>
        <w:t xml:space="preserve">. </w:t>
      </w:r>
      <w:r w:rsidR="005E14A1">
        <w:rPr>
          <w:rFonts w:cs="Arial"/>
          <w:sz w:val="26"/>
          <w:szCs w:val="26"/>
        </w:rPr>
        <w:t xml:space="preserve"> </w:t>
      </w:r>
      <w:r w:rsidRPr="005E14A1">
        <w:rPr>
          <w:rFonts w:cs="Arial"/>
          <w:sz w:val="26"/>
          <w:szCs w:val="26"/>
        </w:rPr>
        <w:t>The historic spend element will be held as a cash flat figure until the national formula has been reviewed in four years’ time.</w:t>
      </w:r>
      <w:r w:rsidR="00B04D7D">
        <w:rPr>
          <w:rFonts w:cs="Arial"/>
          <w:sz w:val="26"/>
          <w:szCs w:val="26"/>
        </w:rPr>
        <w:t xml:space="preserve"> </w:t>
      </w:r>
    </w:p>
    <w:p w:rsidR="00B04D7D" w:rsidP="00331809" w:rsidRDefault="00B04D7D">
      <w:pPr>
        <w:rPr>
          <w:rFonts w:cs="Arial"/>
          <w:sz w:val="26"/>
          <w:szCs w:val="26"/>
        </w:rPr>
      </w:pPr>
    </w:p>
    <w:p w:rsidRPr="005E14A1" w:rsidR="00331809" w:rsidP="00331809" w:rsidRDefault="00B04D7D">
      <w:pPr>
        <w:rPr>
          <w:rFonts w:cs="Arial"/>
          <w:sz w:val="26"/>
          <w:szCs w:val="26"/>
        </w:rPr>
      </w:pPr>
      <w:r>
        <w:rPr>
          <w:rFonts w:cs="Arial"/>
          <w:sz w:val="26"/>
          <w:szCs w:val="26"/>
        </w:rPr>
        <w:t>The implication of Derbyshire being protected by a floor allocation is that increases in the High Needs Block, other than from data changes</w:t>
      </w:r>
      <w:r w:rsidR="0035052D">
        <w:rPr>
          <w:rFonts w:cs="Arial"/>
          <w:sz w:val="26"/>
          <w:szCs w:val="26"/>
        </w:rPr>
        <w:t xml:space="preserve"> or any overall increase in resources at a national level, </w:t>
      </w:r>
      <w:r>
        <w:rPr>
          <w:rFonts w:cs="Arial"/>
          <w:sz w:val="26"/>
          <w:szCs w:val="26"/>
        </w:rPr>
        <w:t xml:space="preserve">are unlikely in the foreseeable future. The </w:t>
      </w:r>
      <w:r w:rsidR="0035052D">
        <w:rPr>
          <w:rFonts w:cs="Arial"/>
          <w:sz w:val="26"/>
          <w:szCs w:val="26"/>
        </w:rPr>
        <w:t xml:space="preserve">real terms </w:t>
      </w:r>
      <w:r>
        <w:rPr>
          <w:rFonts w:cs="Arial"/>
          <w:sz w:val="26"/>
          <w:szCs w:val="26"/>
        </w:rPr>
        <w:t xml:space="preserve">spending power of </w:t>
      </w:r>
      <w:r w:rsidR="0035052D">
        <w:rPr>
          <w:rFonts w:cs="Arial"/>
          <w:sz w:val="26"/>
          <w:szCs w:val="26"/>
        </w:rPr>
        <w:t xml:space="preserve">Derbyshire’s </w:t>
      </w:r>
      <w:r>
        <w:rPr>
          <w:rFonts w:cs="Arial"/>
          <w:sz w:val="26"/>
          <w:szCs w:val="26"/>
        </w:rPr>
        <w:t>High Needs Block will thus erode over time.</w:t>
      </w:r>
    </w:p>
    <w:p w:rsidRPr="005E14A1" w:rsidR="00331809" w:rsidP="00EC3F61" w:rsidRDefault="00331809">
      <w:pPr>
        <w:rPr>
          <w:rFonts w:cs="Arial"/>
          <w:sz w:val="26"/>
          <w:szCs w:val="26"/>
        </w:rPr>
      </w:pPr>
    </w:p>
    <w:p w:rsidRPr="0035052D" w:rsidR="005725F7" w:rsidP="00331809" w:rsidRDefault="0035052D">
      <w:pPr>
        <w:rPr>
          <w:rFonts w:cs="Arial"/>
          <w:b/>
          <w:sz w:val="26"/>
          <w:szCs w:val="26"/>
        </w:rPr>
      </w:pPr>
      <w:r w:rsidRPr="0035052D">
        <w:rPr>
          <w:rFonts w:cs="Arial"/>
          <w:b/>
          <w:sz w:val="26"/>
          <w:szCs w:val="26"/>
        </w:rPr>
        <w:t>2.3</w:t>
      </w:r>
      <w:r w:rsidRPr="0035052D">
        <w:rPr>
          <w:rFonts w:cs="Arial"/>
          <w:b/>
          <w:sz w:val="26"/>
          <w:szCs w:val="26"/>
        </w:rPr>
        <w:tab/>
      </w:r>
      <w:r w:rsidRPr="0035052D" w:rsidR="005725F7">
        <w:rPr>
          <w:rFonts w:cs="Arial"/>
          <w:b/>
          <w:sz w:val="26"/>
          <w:szCs w:val="26"/>
          <w:u w:val="single"/>
        </w:rPr>
        <w:t>Institution level formula changes</w:t>
      </w:r>
    </w:p>
    <w:p w:rsidR="005725F7" w:rsidP="00331809" w:rsidRDefault="005725F7">
      <w:pPr>
        <w:rPr>
          <w:rFonts w:cs="Arial"/>
          <w:sz w:val="26"/>
          <w:szCs w:val="26"/>
          <w:u w:val="single"/>
        </w:rPr>
      </w:pPr>
    </w:p>
    <w:p w:rsidR="0035052D" w:rsidP="00331809" w:rsidRDefault="0035052D">
      <w:pPr>
        <w:rPr>
          <w:rFonts w:cs="Arial"/>
          <w:sz w:val="26"/>
          <w:szCs w:val="26"/>
        </w:rPr>
      </w:pPr>
      <w:r>
        <w:rPr>
          <w:rFonts w:cs="Arial"/>
          <w:sz w:val="26"/>
          <w:szCs w:val="26"/>
        </w:rPr>
        <w:t xml:space="preserve">Whilst the High Needs NFF will allocate funding to LAs, the formulae by which individual institutions’ allocations are calculated </w:t>
      </w:r>
      <w:r w:rsidR="008A49AA">
        <w:rPr>
          <w:rFonts w:cs="Arial"/>
          <w:sz w:val="26"/>
          <w:szCs w:val="26"/>
        </w:rPr>
        <w:t xml:space="preserve">will </w:t>
      </w:r>
      <w:r>
        <w:rPr>
          <w:rFonts w:cs="Arial"/>
          <w:sz w:val="26"/>
          <w:szCs w:val="26"/>
        </w:rPr>
        <w:t xml:space="preserve">remain largely a matter for local determination. However, the DfE propose some </w:t>
      </w:r>
      <w:r w:rsidR="008A49AA">
        <w:rPr>
          <w:rFonts w:cs="Arial"/>
          <w:sz w:val="26"/>
          <w:szCs w:val="26"/>
        </w:rPr>
        <w:t xml:space="preserve">minor </w:t>
      </w:r>
      <w:r>
        <w:rPr>
          <w:rFonts w:cs="Arial"/>
          <w:sz w:val="26"/>
          <w:szCs w:val="26"/>
        </w:rPr>
        <w:t>technical changes:</w:t>
      </w:r>
    </w:p>
    <w:p w:rsidR="0035052D" w:rsidP="0035052D" w:rsidRDefault="0035052D">
      <w:pPr>
        <w:rPr>
          <w:rFonts w:cs="Arial"/>
          <w:sz w:val="26"/>
          <w:szCs w:val="26"/>
        </w:rPr>
      </w:pPr>
    </w:p>
    <w:p w:rsidRPr="0035052D" w:rsidR="00331809" w:rsidP="0035052D" w:rsidRDefault="00331809">
      <w:pPr>
        <w:rPr>
          <w:rFonts w:cs="Arial"/>
          <w:sz w:val="26"/>
          <w:szCs w:val="26"/>
        </w:rPr>
      </w:pPr>
      <w:r w:rsidRPr="0035052D">
        <w:rPr>
          <w:rFonts w:cs="Arial"/>
          <w:b/>
          <w:sz w:val="26"/>
          <w:szCs w:val="26"/>
        </w:rPr>
        <w:t>Pupils in E</w:t>
      </w:r>
      <w:r w:rsidR="00727234">
        <w:rPr>
          <w:rFonts w:cs="Arial"/>
          <w:b/>
          <w:sz w:val="26"/>
          <w:szCs w:val="26"/>
        </w:rPr>
        <w:t xml:space="preserve">nhanced Resource (ER) </w:t>
      </w:r>
      <w:r w:rsidRPr="0035052D">
        <w:rPr>
          <w:rFonts w:cs="Arial"/>
          <w:b/>
          <w:sz w:val="26"/>
          <w:szCs w:val="26"/>
        </w:rPr>
        <w:t>provision</w:t>
      </w:r>
      <w:r w:rsidRPr="0035052D">
        <w:rPr>
          <w:rFonts w:cs="Arial"/>
          <w:sz w:val="26"/>
          <w:szCs w:val="26"/>
        </w:rPr>
        <w:t xml:space="preserve"> </w:t>
      </w:r>
      <w:r w:rsidR="0035052D">
        <w:rPr>
          <w:rFonts w:cs="Arial"/>
          <w:sz w:val="26"/>
          <w:szCs w:val="26"/>
        </w:rPr>
        <w:t xml:space="preserve">- </w:t>
      </w:r>
      <w:r w:rsidRPr="0035052D">
        <w:rPr>
          <w:rFonts w:cs="Arial"/>
          <w:sz w:val="26"/>
          <w:szCs w:val="26"/>
        </w:rPr>
        <w:t xml:space="preserve">will </w:t>
      </w:r>
      <w:r w:rsidR="0035052D">
        <w:rPr>
          <w:rFonts w:cs="Arial"/>
          <w:sz w:val="26"/>
          <w:szCs w:val="26"/>
        </w:rPr>
        <w:t xml:space="preserve">in future </w:t>
      </w:r>
      <w:r w:rsidRPr="0035052D">
        <w:rPr>
          <w:rFonts w:cs="Arial"/>
          <w:sz w:val="26"/>
          <w:szCs w:val="26"/>
        </w:rPr>
        <w:t>trigger funding under the mainstream schools National Funding Formula</w:t>
      </w:r>
      <w:r w:rsidR="008A49AA">
        <w:rPr>
          <w:rFonts w:cs="Arial"/>
          <w:sz w:val="26"/>
          <w:szCs w:val="26"/>
        </w:rPr>
        <w:t xml:space="preserve">; </w:t>
      </w:r>
      <w:r w:rsidRPr="0035052D">
        <w:rPr>
          <w:rFonts w:cs="Arial"/>
          <w:sz w:val="26"/>
          <w:szCs w:val="26"/>
        </w:rPr>
        <w:t>currently they do not. A transfer to the Schools Block from the High Needs Block will be required to fund this</w:t>
      </w:r>
      <w:r w:rsidR="00445C46">
        <w:rPr>
          <w:rFonts w:cs="Arial"/>
          <w:sz w:val="26"/>
          <w:szCs w:val="26"/>
        </w:rPr>
        <w:t xml:space="preserve"> (2.54)</w:t>
      </w:r>
      <w:r w:rsidRPr="0035052D">
        <w:rPr>
          <w:rFonts w:cs="Arial"/>
          <w:sz w:val="26"/>
          <w:szCs w:val="26"/>
        </w:rPr>
        <w:t>.</w:t>
      </w:r>
    </w:p>
    <w:p w:rsidRPr="005E14A1" w:rsidR="00331809" w:rsidP="00331809" w:rsidRDefault="00331809">
      <w:pPr>
        <w:rPr>
          <w:rFonts w:cs="Arial"/>
          <w:sz w:val="26"/>
          <w:szCs w:val="26"/>
        </w:rPr>
      </w:pPr>
    </w:p>
    <w:p w:rsidRPr="005E14A1" w:rsidR="00331809" w:rsidP="00331809" w:rsidRDefault="00331809">
      <w:pPr>
        <w:rPr>
          <w:rFonts w:cs="Arial"/>
          <w:sz w:val="26"/>
          <w:szCs w:val="26"/>
        </w:rPr>
      </w:pPr>
      <w:r w:rsidRPr="0035052D">
        <w:rPr>
          <w:rFonts w:cs="Arial"/>
          <w:b/>
          <w:sz w:val="26"/>
          <w:szCs w:val="26"/>
        </w:rPr>
        <w:t>ER Places</w:t>
      </w:r>
      <w:r w:rsidRPr="005E14A1">
        <w:rPr>
          <w:rFonts w:cs="Arial"/>
          <w:sz w:val="26"/>
          <w:szCs w:val="26"/>
        </w:rPr>
        <w:t xml:space="preserve"> </w:t>
      </w:r>
      <w:r w:rsidR="0035052D">
        <w:rPr>
          <w:rFonts w:cs="Arial"/>
          <w:sz w:val="26"/>
          <w:szCs w:val="26"/>
        </w:rPr>
        <w:t xml:space="preserve">– places </w:t>
      </w:r>
      <w:r w:rsidRPr="005E14A1">
        <w:rPr>
          <w:rFonts w:cs="Arial"/>
          <w:sz w:val="26"/>
          <w:szCs w:val="26"/>
        </w:rPr>
        <w:t>occupied by pupils at the time of the census will be funded at £6</w:t>
      </w:r>
      <w:r w:rsidR="00727234">
        <w:rPr>
          <w:rFonts w:cs="Arial"/>
          <w:sz w:val="26"/>
          <w:szCs w:val="26"/>
        </w:rPr>
        <w:t>,000</w:t>
      </w:r>
      <w:r w:rsidRPr="005E14A1">
        <w:rPr>
          <w:rFonts w:cs="Arial"/>
          <w:sz w:val="26"/>
          <w:szCs w:val="26"/>
        </w:rPr>
        <w:t xml:space="preserve"> whilst unfilled places will continue to attract £10,000</w:t>
      </w:r>
      <w:r w:rsidR="00445C46">
        <w:rPr>
          <w:rFonts w:cs="Arial"/>
          <w:sz w:val="26"/>
          <w:szCs w:val="26"/>
        </w:rPr>
        <w:t xml:space="preserve"> (2.52)</w:t>
      </w:r>
      <w:r w:rsidRPr="005E14A1">
        <w:rPr>
          <w:rFonts w:cs="Arial"/>
          <w:sz w:val="26"/>
          <w:szCs w:val="26"/>
        </w:rPr>
        <w:t>.</w:t>
      </w:r>
    </w:p>
    <w:p w:rsidRPr="005E14A1" w:rsidR="00331809" w:rsidP="00331809" w:rsidRDefault="00331809">
      <w:pPr>
        <w:rPr>
          <w:rFonts w:cs="Arial"/>
          <w:sz w:val="26"/>
          <w:szCs w:val="26"/>
        </w:rPr>
      </w:pPr>
    </w:p>
    <w:p w:rsidRPr="0035052D" w:rsidR="0035052D" w:rsidP="00331809" w:rsidRDefault="0035052D">
      <w:pPr>
        <w:rPr>
          <w:rFonts w:cs="Arial"/>
          <w:b/>
          <w:sz w:val="26"/>
          <w:szCs w:val="26"/>
        </w:rPr>
      </w:pPr>
      <w:r w:rsidRPr="0035052D">
        <w:rPr>
          <w:rFonts w:cs="Arial"/>
          <w:b/>
          <w:sz w:val="26"/>
          <w:szCs w:val="26"/>
        </w:rPr>
        <w:t>2.4</w:t>
      </w:r>
      <w:r w:rsidRPr="0035052D">
        <w:rPr>
          <w:rFonts w:cs="Arial"/>
          <w:b/>
          <w:sz w:val="26"/>
          <w:szCs w:val="26"/>
        </w:rPr>
        <w:tab/>
      </w:r>
      <w:r w:rsidRPr="0035052D">
        <w:rPr>
          <w:rFonts w:cs="Arial"/>
          <w:b/>
          <w:sz w:val="26"/>
          <w:szCs w:val="26"/>
          <w:u w:val="single"/>
        </w:rPr>
        <w:t xml:space="preserve">Other </w:t>
      </w:r>
      <w:r w:rsidR="00163DF7">
        <w:rPr>
          <w:rFonts w:cs="Arial"/>
          <w:b/>
          <w:sz w:val="26"/>
          <w:szCs w:val="26"/>
          <w:u w:val="single"/>
        </w:rPr>
        <w:t>matters</w:t>
      </w:r>
    </w:p>
    <w:p w:rsidR="0035052D" w:rsidP="00331809" w:rsidRDefault="0035052D">
      <w:pPr>
        <w:rPr>
          <w:rFonts w:cs="Arial"/>
          <w:sz w:val="26"/>
          <w:szCs w:val="26"/>
        </w:rPr>
      </w:pPr>
    </w:p>
    <w:p w:rsidR="00163DF7" w:rsidP="00331809" w:rsidRDefault="00331809">
      <w:pPr>
        <w:rPr>
          <w:rFonts w:cs="Arial"/>
          <w:sz w:val="26"/>
          <w:szCs w:val="26"/>
        </w:rPr>
      </w:pPr>
      <w:r w:rsidRPr="005E14A1">
        <w:rPr>
          <w:rFonts w:cs="Arial"/>
          <w:sz w:val="26"/>
          <w:szCs w:val="26"/>
        </w:rPr>
        <w:t xml:space="preserve">Some local flexibility is proposed. </w:t>
      </w:r>
      <w:r w:rsidR="00727234">
        <w:rPr>
          <w:rFonts w:cs="Arial"/>
          <w:sz w:val="26"/>
          <w:szCs w:val="26"/>
        </w:rPr>
        <w:t xml:space="preserve">The DfE recognise that the proposed move to a “hard” NFF for mainstream schools </w:t>
      </w:r>
      <w:r w:rsidR="00C94C39">
        <w:rPr>
          <w:rFonts w:cs="Arial"/>
          <w:sz w:val="26"/>
          <w:szCs w:val="26"/>
        </w:rPr>
        <w:t xml:space="preserve">in 2019-20 </w:t>
      </w:r>
      <w:r w:rsidR="00727234">
        <w:rPr>
          <w:rFonts w:cs="Arial"/>
          <w:sz w:val="26"/>
          <w:szCs w:val="26"/>
        </w:rPr>
        <w:t>will effectively place a ring fence around the Schools Block. DfE analysis shows that since the High Needs Block was established in 2013</w:t>
      </w:r>
      <w:r w:rsidR="00624F8E">
        <w:rPr>
          <w:rFonts w:cs="Arial"/>
          <w:sz w:val="26"/>
          <w:szCs w:val="26"/>
        </w:rPr>
        <w:t xml:space="preserve">, </w:t>
      </w:r>
      <w:r w:rsidR="00727234">
        <w:rPr>
          <w:rFonts w:cs="Arial"/>
          <w:sz w:val="26"/>
          <w:szCs w:val="26"/>
        </w:rPr>
        <w:t>114 LAs have moved £327m from mainstream spending into their high needs budgets whilst 37 have moved £57m the other way</w:t>
      </w:r>
      <w:r w:rsidR="00C94C39">
        <w:rPr>
          <w:rFonts w:cs="Arial"/>
          <w:sz w:val="26"/>
          <w:szCs w:val="26"/>
        </w:rPr>
        <w:t xml:space="preserve"> - </w:t>
      </w:r>
      <w:r w:rsidR="00727234">
        <w:rPr>
          <w:rFonts w:cs="Arial"/>
          <w:sz w:val="26"/>
          <w:szCs w:val="26"/>
        </w:rPr>
        <w:t xml:space="preserve">these movements </w:t>
      </w:r>
      <w:r w:rsidR="00C56029">
        <w:rPr>
          <w:rFonts w:cs="Arial"/>
          <w:sz w:val="26"/>
          <w:szCs w:val="26"/>
        </w:rPr>
        <w:t xml:space="preserve">no doubt </w:t>
      </w:r>
      <w:r w:rsidR="00727234">
        <w:rPr>
          <w:rFonts w:cs="Arial"/>
          <w:sz w:val="26"/>
          <w:szCs w:val="26"/>
        </w:rPr>
        <w:t>reflect LAs’ response</w:t>
      </w:r>
      <w:r w:rsidR="00C56029">
        <w:rPr>
          <w:rFonts w:cs="Arial"/>
          <w:sz w:val="26"/>
          <w:szCs w:val="26"/>
        </w:rPr>
        <w:t>s</w:t>
      </w:r>
      <w:r w:rsidR="00727234">
        <w:rPr>
          <w:rFonts w:cs="Arial"/>
          <w:sz w:val="26"/>
          <w:szCs w:val="26"/>
        </w:rPr>
        <w:t xml:space="preserve"> to dealing with various cost pressures</w:t>
      </w:r>
      <w:r w:rsidR="00624F8E">
        <w:rPr>
          <w:rFonts w:cs="Arial"/>
          <w:sz w:val="26"/>
          <w:szCs w:val="26"/>
        </w:rPr>
        <w:t xml:space="preserve"> (4.8)</w:t>
      </w:r>
      <w:r w:rsidR="00727234">
        <w:rPr>
          <w:rFonts w:cs="Arial"/>
          <w:sz w:val="26"/>
          <w:szCs w:val="26"/>
        </w:rPr>
        <w:t xml:space="preserve">. </w:t>
      </w:r>
    </w:p>
    <w:p w:rsidRPr="00163DF7" w:rsidR="00163DF7" w:rsidP="00163DF7" w:rsidRDefault="00163DF7">
      <w:pPr>
        <w:rPr>
          <w:rFonts w:cs="Arial"/>
          <w:sz w:val="26"/>
          <w:szCs w:val="26"/>
        </w:rPr>
      </w:pPr>
    </w:p>
    <w:p w:rsidR="00163DF7" w:rsidP="00163DF7" w:rsidRDefault="00C56029">
      <w:pPr>
        <w:rPr>
          <w:rFonts w:cs="Arial"/>
          <w:sz w:val="26"/>
          <w:szCs w:val="26"/>
        </w:rPr>
      </w:pPr>
      <w:r>
        <w:rPr>
          <w:rFonts w:cs="Arial"/>
          <w:sz w:val="26"/>
          <w:szCs w:val="26"/>
        </w:rPr>
        <w:t>T</w:t>
      </w:r>
      <w:r w:rsidRPr="00163DF7">
        <w:rPr>
          <w:rFonts w:cs="Arial"/>
          <w:sz w:val="26"/>
          <w:szCs w:val="26"/>
        </w:rPr>
        <w:t xml:space="preserve">he current funding system </w:t>
      </w:r>
      <w:r>
        <w:rPr>
          <w:rFonts w:cs="Arial"/>
          <w:sz w:val="26"/>
          <w:szCs w:val="26"/>
        </w:rPr>
        <w:t>recognises that s</w:t>
      </w:r>
      <w:r w:rsidRPr="00163DF7" w:rsidR="00163DF7">
        <w:rPr>
          <w:rFonts w:cs="Arial"/>
          <w:sz w:val="26"/>
          <w:szCs w:val="26"/>
        </w:rPr>
        <w:t>chools can be disadvantaged financially if they admit a disproportionate number of pupils with high needs</w:t>
      </w:r>
      <w:r>
        <w:rPr>
          <w:rFonts w:cs="Arial"/>
          <w:sz w:val="26"/>
          <w:szCs w:val="26"/>
        </w:rPr>
        <w:t xml:space="preserve"> and hence allows </w:t>
      </w:r>
      <w:r w:rsidRPr="00163DF7" w:rsidR="00163DF7">
        <w:rPr>
          <w:rFonts w:cs="Arial"/>
          <w:sz w:val="26"/>
          <w:szCs w:val="26"/>
        </w:rPr>
        <w:t xml:space="preserve">local authorities </w:t>
      </w:r>
      <w:r>
        <w:rPr>
          <w:rFonts w:cs="Arial"/>
          <w:sz w:val="26"/>
          <w:szCs w:val="26"/>
        </w:rPr>
        <w:t xml:space="preserve">to </w:t>
      </w:r>
      <w:r w:rsidRPr="00163DF7" w:rsidR="00163DF7">
        <w:rPr>
          <w:rFonts w:cs="Arial"/>
          <w:sz w:val="26"/>
          <w:szCs w:val="26"/>
        </w:rPr>
        <w:t>use funding from their high needs budgets to support mainstream schools that are particularly inclusive, as well as expanding special schools or units, and many authorities already do this</w:t>
      </w:r>
      <w:r w:rsidR="00624F8E">
        <w:rPr>
          <w:rFonts w:cs="Arial"/>
          <w:sz w:val="26"/>
          <w:szCs w:val="26"/>
        </w:rPr>
        <w:t xml:space="preserve"> (4.11)</w:t>
      </w:r>
      <w:r w:rsidRPr="00163DF7" w:rsidR="00163DF7">
        <w:rPr>
          <w:rFonts w:cs="Arial"/>
          <w:sz w:val="26"/>
          <w:szCs w:val="26"/>
        </w:rPr>
        <w:t xml:space="preserve">. </w:t>
      </w:r>
    </w:p>
    <w:p w:rsidR="00163DF7" w:rsidP="00163DF7" w:rsidRDefault="00163DF7">
      <w:pPr>
        <w:rPr>
          <w:rFonts w:cs="Arial"/>
          <w:sz w:val="26"/>
          <w:szCs w:val="26"/>
        </w:rPr>
      </w:pPr>
    </w:p>
    <w:p w:rsidRPr="00163DF7" w:rsidR="00163DF7" w:rsidP="00163DF7" w:rsidRDefault="00163DF7">
      <w:pPr>
        <w:rPr>
          <w:rFonts w:cs="Arial"/>
          <w:sz w:val="26"/>
          <w:szCs w:val="26"/>
        </w:rPr>
      </w:pPr>
      <w:r>
        <w:rPr>
          <w:rFonts w:cs="Arial"/>
          <w:sz w:val="26"/>
          <w:szCs w:val="26"/>
        </w:rPr>
        <w:t xml:space="preserve">To facilitate continued local flexibility the DfE propose that there will be no ring fence on the Schools Block in 2017-18 (4.12). </w:t>
      </w:r>
      <w:r w:rsidRPr="00163DF7">
        <w:rPr>
          <w:rFonts w:cs="Arial"/>
          <w:sz w:val="26"/>
          <w:szCs w:val="26"/>
        </w:rPr>
        <w:t xml:space="preserve">In 2018-19 and subsequent years there will be no restrictions on the transfer of funding between the </w:t>
      </w:r>
      <w:r>
        <w:rPr>
          <w:rFonts w:cs="Arial"/>
          <w:sz w:val="26"/>
          <w:szCs w:val="26"/>
        </w:rPr>
        <w:t>H</w:t>
      </w:r>
      <w:r w:rsidRPr="00163DF7">
        <w:rPr>
          <w:rFonts w:cs="Arial"/>
          <w:sz w:val="26"/>
          <w:szCs w:val="26"/>
        </w:rPr>
        <w:t xml:space="preserve">igh </w:t>
      </w:r>
      <w:r>
        <w:rPr>
          <w:rFonts w:cs="Arial"/>
          <w:sz w:val="26"/>
          <w:szCs w:val="26"/>
        </w:rPr>
        <w:t>N</w:t>
      </w:r>
      <w:r w:rsidRPr="00163DF7">
        <w:rPr>
          <w:rFonts w:cs="Arial"/>
          <w:sz w:val="26"/>
          <w:szCs w:val="26"/>
        </w:rPr>
        <w:t xml:space="preserve">eeds block, the </w:t>
      </w:r>
      <w:r>
        <w:rPr>
          <w:rFonts w:cs="Arial"/>
          <w:sz w:val="26"/>
          <w:szCs w:val="26"/>
        </w:rPr>
        <w:t>C</w:t>
      </w:r>
      <w:r w:rsidRPr="00163DF7">
        <w:rPr>
          <w:rFonts w:cs="Arial"/>
          <w:sz w:val="26"/>
          <w:szCs w:val="26"/>
        </w:rPr>
        <w:t xml:space="preserve">entral </w:t>
      </w:r>
      <w:r>
        <w:rPr>
          <w:rFonts w:cs="Arial"/>
          <w:sz w:val="26"/>
          <w:szCs w:val="26"/>
        </w:rPr>
        <w:t>S</w:t>
      </w:r>
      <w:r w:rsidRPr="00163DF7">
        <w:rPr>
          <w:rFonts w:cs="Arial"/>
          <w:sz w:val="26"/>
          <w:szCs w:val="26"/>
        </w:rPr>
        <w:t xml:space="preserve">chools </w:t>
      </w:r>
      <w:r>
        <w:rPr>
          <w:rFonts w:cs="Arial"/>
          <w:sz w:val="26"/>
          <w:szCs w:val="26"/>
        </w:rPr>
        <w:t>S</w:t>
      </w:r>
      <w:r w:rsidRPr="00163DF7">
        <w:rPr>
          <w:rFonts w:cs="Arial"/>
          <w:sz w:val="26"/>
          <w:szCs w:val="26"/>
        </w:rPr>
        <w:t xml:space="preserve">ervices </w:t>
      </w:r>
      <w:r>
        <w:rPr>
          <w:rFonts w:cs="Arial"/>
          <w:sz w:val="26"/>
          <w:szCs w:val="26"/>
        </w:rPr>
        <w:t>B</w:t>
      </w:r>
      <w:r w:rsidRPr="00163DF7">
        <w:rPr>
          <w:rFonts w:cs="Arial"/>
          <w:sz w:val="26"/>
          <w:szCs w:val="26"/>
        </w:rPr>
        <w:t xml:space="preserve">lock and the elements of </w:t>
      </w:r>
      <w:r>
        <w:rPr>
          <w:rFonts w:cs="Arial"/>
          <w:sz w:val="26"/>
          <w:szCs w:val="26"/>
        </w:rPr>
        <w:t>E</w:t>
      </w:r>
      <w:r w:rsidRPr="00163DF7">
        <w:rPr>
          <w:rFonts w:cs="Arial"/>
          <w:sz w:val="26"/>
          <w:szCs w:val="26"/>
        </w:rPr>
        <w:t xml:space="preserve">arly </w:t>
      </w:r>
      <w:r>
        <w:rPr>
          <w:rFonts w:cs="Arial"/>
          <w:sz w:val="26"/>
          <w:szCs w:val="26"/>
        </w:rPr>
        <w:t>Y</w:t>
      </w:r>
      <w:r w:rsidRPr="00163DF7">
        <w:rPr>
          <w:rFonts w:cs="Arial"/>
          <w:sz w:val="26"/>
          <w:szCs w:val="26"/>
        </w:rPr>
        <w:t xml:space="preserve">ears funding that local authorities are allowed to retain for central spending. It will also remain possible for local authorities to transfer funds into their high needs budgets from sources other than their DSG allocation. </w:t>
      </w:r>
    </w:p>
    <w:p w:rsidR="00163DF7" w:rsidP="00163DF7" w:rsidRDefault="00163DF7">
      <w:pPr>
        <w:rPr>
          <w:rFonts w:cs="Arial"/>
          <w:sz w:val="26"/>
          <w:szCs w:val="26"/>
        </w:rPr>
      </w:pPr>
    </w:p>
    <w:p w:rsidR="00163DF7" w:rsidP="00163DF7" w:rsidRDefault="00163DF7">
      <w:pPr>
        <w:autoSpaceDE w:val="0"/>
        <w:autoSpaceDN w:val="0"/>
        <w:adjustRightInd w:val="0"/>
        <w:rPr>
          <w:rFonts w:cs="Arial"/>
          <w:sz w:val="26"/>
          <w:szCs w:val="26"/>
        </w:rPr>
      </w:pPr>
      <w:r w:rsidRPr="00163DF7">
        <w:rPr>
          <w:rFonts w:cs="Arial"/>
          <w:sz w:val="26"/>
          <w:szCs w:val="26"/>
        </w:rPr>
        <w:t xml:space="preserve">In 2018-19 </w:t>
      </w:r>
      <w:r>
        <w:rPr>
          <w:rFonts w:cs="Arial"/>
          <w:sz w:val="26"/>
          <w:szCs w:val="26"/>
        </w:rPr>
        <w:t xml:space="preserve">the DfE </w:t>
      </w:r>
      <w:r w:rsidRPr="00163DF7">
        <w:rPr>
          <w:rFonts w:cs="Arial"/>
          <w:sz w:val="26"/>
          <w:szCs w:val="26"/>
        </w:rPr>
        <w:t>propose to provide an opportunity for local authorities to transfer funds</w:t>
      </w:r>
      <w:r>
        <w:rPr>
          <w:rFonts w:cs="Arial"/>
          <w:sz w:val="26"/>
          <w:szCs w:val="26"/>
        </w:rPr>
        <w:t xml:space="preserve"> from the Schools Block </w:t>
      </w:r>
      <w:r w:rsidRPr="00163DF7">
        <w:rPr>
          <w:rFonts w:cs="Arial"/>
          <w:sz w:val="26"/>
          <w:szCs w:val="26"/>
        </w:rPr>
        <w:t xml:space="preserve">to their high needs budget. To exercise this flexibility, local authorities would have to get the agreement of their </w:t>
      </w:r>
      <w:r>
        <w:rPr>
          <w:rFonts w:cs="Arial"/>
          <w:sz w:val="26"/>
          <w:szCs w:val="26"/>
        </w:rPr>
        <w:t>S</w:t>
      </w:r>
      <w:r w:rsidRPr="00163DF7">
        <w:rPr>
          <w:rFonts w:cs="Arial"/>
          <w:sz w:val="26"/>
          <w:szCs w:val="26"/>
        </w:rPr>
        <w:t xml:space="preserve">chools </w:t>
      </w:r>
      <w:r>
        <w:rPr>
          <w:rFonts w:cs="Arial"/>
          <w:sz w:val="26"/>
          <w:szCs w:val="26"/>
        </w:rPr>
        <w:t>F</w:t>
      </w:r>
      <w:r w:rsidRPr="00163DF7">
        <w:rPr>
          <w:rFonts w:cs="Arial"/>
          <w:sz w:val="26"/>
          <w:szCs w:val="26"/>
        </w:rPr>
        <w:t xml:space="preserve">orum and a majority of primary and/or secondary schools and academies (with transfers confined to the primary and secondary elements of the </w:t>
      </w:r>
      <w:r>
        <w:rPr>
          <w:rFonts w:cs="Arial"/>
          <w:sz w:val="26"/>
          <w:szCs w:val="26"/>
        </w:rPr>
        <w:t>S</w:t>
      </w:r>
      <w:r w:rsidRPr="00163DF7">
        <w:rPr>
          <w:rFonts w:cs="Arial"/>
          <w:sz w:val="26"/>
          <w:szCs w:val="26"/>
        </w:rPr>
        <w:t xml:space="preserve">chools </w:t>
      </w:r>
      <w:r>
        <w:rPr>
          <w:rFonts w:cs="Arial"/>
          <w:sz w:val="26"/>
          <w:szCs w:val="26"/>
        </w:rPr>
        <w:t>Block as agreed by phase) (4.13).</w:t>
      </w:r>
    </w:p>
    <w:p w:rsidRPr="005E14A1" w:rsidR="00331809" w:rsidP="00331809" w:rsidRDefault="00331809">
      <w:pPr>
        <w:rPr>
          <w:rFonts w:cs="Arial"/>
          <w:sz w:val="26"/>
          <w:szCs w:val="26"/>
        </w:rPr>
      </w:pPr>
    </w:p>
    <w:p w:rsidRPr="005E14A1" w:rsidR="00331809" w:rsidP="00331809" w:rsidRDefault="00163DF7">
      <w:pPr>
        <w:rPr>
          <w:rFonts w:cs="Arial"/>
          <w:sz w:val="26"/>
          <w:szCs w:val="26"/>
        </w:rPr>
      </w:pPr>
      <w:r>
        <w:rPr>
          <w:rFonts w:cs="Arial"/>
          <w:sz w:val="26"/>
          <w:szCs w:val="26"/>
        </w:rPr>
        <w:t>From 2019-20 under the “hard” formula t</w:t>
      </w:r>
      <w:r w:rsidRPr="005E14A1" w:rsidR="00331809">
        <w:rPr>
          <w:rFonts w:cs="Arial"/>
          <w:sz w:val="26"/>
          <w:szCs w:val="26"/>
        </w:rPr>
        <w:t xml:space="preserve">here </w:t>
      </w:r>
      <w:r>
        <w:rPr>
          <w:rFonts w:cs="Arial"/>
          <w:sz w:val="26"/>
          <w:szCs w:val="26"/>
        </w:rPr>
        <w:t xml:space="preserve">will be a framework </w:t>
      </w:r>
      <w:r w:rsidRPr="005E14A1" w:rsidR="00331809">
        <w:rPr>
          <w:rFonts w:cs="Arial"/>
          <w:sz w:val="26"/>
          <w:szCs w:val="26"/>
        </w:rPr>
        <w:t>whereby schools could agree, with their LA, to pool some funding that could then be directed towards those schools that need it most for their pupils</w:t>
      </w:r>
      <w:r>
        <w:rPr>
          <w:rFonts w:cs="Arial"/>
          <w:sz w:val="26"/>
          <w:szCs w:val="26"/>
        </w:rPr>
        <w:t xml:space="preserve"> with SEN</w:t>
      </w:r>
      <w:r w:rsidRPr="005E14A1" w:rsidR="00331809">
        <w:rPr>
          <w:rFonts w:cs="Arial"/>
          <w:sz w:val="26"/>
          <w:szCs w:val="26"/>
        </w:rPr>
        <w:t>.</w:t>
      </w:r>
      <w:r w:rsidR="00445C46">
        <w:rPr>
          <w:rFonts w:cs="Arial"/>
          <w:sz w:val="26"/>
          <w:szCs w:val="26"/>
        </w:rPr>
        <w:t xml:space="preserve"> The budget would be created by a small charge on each school’s budget which</w:t>
      </w:r>
      <w:r w:rsidR="00C94C39">
        <w:rPr>
          <w:rFonts w:cs="Arial"/>
          <w:sz w:val="26"/>
          <w:szCs w:val="26"/>
        </w:rPr>
        <w:t xml:space="preserve">, </w:t>
      </w:r>
      <w:r w:rsidR="00445C46">
        <w:rPr>
          <w:rFonts w:cs="Arial"/>
          <w:sz w:val="26"/>
          <w:szCs w:val="26"/>
        </w:rPr>
        <w:t>supplemented by funding from the LA’s high needs budget, would deliver support to children and young people with high needs regardless of where they are placed (4.15).</w:t>
      </w:r>
    </w:p>
    <w:p w:rsidRPr="005E14A1" w:rsidR="00331809" w:rsidP="00EC3F61" w:rsidRDefault="00331809">
      <w:pPr>
        <w:rPr>
          <w:rFonts w:cs="Arial"/>
          <w:sz w:val="26"/>
          <w:szCs w:val="26"/>
        </w:rPr>
      </w:pPr>
    </w:p>
    <w:p w:rsidRPr="005E14A1" w:rsidR="00331809" w:rsidP="00EC3F61" w:rsidRDefault="009A3038">
      <w:pPr>
        <w:rPr>
          <w:rFonts w:cs="Arial"/>
          <w:sz w:val="26"/>
          <w:szCs w:val="26"/>
        </w:rPr>
      </w:pPr>
      <w:r>
        <w:rPr>
          <w:rFonts w:cs="Arial"/>
          <w:sz w:val="26"/>
          <w:szCs w:val="26"/>
        </w:rPr>
        <w:t xml:space="preserve">The consultation document reminds local authorities of their strategic planning role in respect of provision for children with SEN and disabilities (4.28).  The government have provided a one off grant of £23m nationally in 2016-17 to increase LAs’ capacity to </w:t>
      </w:r>
      <w:r w:rsidR="00C94C39">
        <w:rPr>
          <w:rFonts w:cs="Arial"/>
          <w:sz w:val="26"/>
          <w:szCs w:val="26"/>
        </w:rPr>
        <w:t xml:space="preserve">enhance </w:t>
      </w:r>
      <w:r>
        <w:rPr>
          <w:rFonts w:cs="Arial"/>
          <w:sz w:val="26"/>
          <w:szCs w:val="26"/>
        </w:rPr>
        <w:t xml:space="preserve">this </w:t>
      </w:r>
      <w:r w:rsidR="00C94C39">
        <w:rPr>
          <w:rFonts w:cs="Arial"/>
          <w:sz w:val="26"/>
          <w:szCs w:val="26"/>
        </w:rPr>
        <w:t xml:space="preserve">planning </w:t>
      </w:r>
      <w:r>
        <w:rPr>
          <w:rFonts w:cs="Arial"/>
          <w:sz w:val="26"/>
          <w:szCs w:val="26"/>
        </w:rPr>
        <w:t>work; Derbyshire’s share of this grant is £305,000. £200m capital funding has also been made available nationally to help build new places at mainstream and special schools and to improve existing places.</w:t>
      </w:r>
    </w:p>
    <w:p w:rsidR="00C94C39" w:rsidP="00EC3F61" w:rsidRDefault="00C94C39">
      <w:pPr>
        <w:rPr>
          <w:rFonts w:cs="Arial"/>
          <w:sz w:val="26"/>
          <w:szCs w:val="26"/>
        </w:rPr>
      </w:pPr>
    </w:p>
    <w:p w:rsidR="009A3038" w:rsidP="00EC3F61" w:rsidRDefault="00210926">
      <w:pPr>
        <w:rPr>
          <w:rFonts w:cs="Arial"/>
          <w:sz w:val="26"/>
          <w:szCs w:val="26"/>
        </w:rPr>
      </w:pPr>
      <w:r>
        <w:rPr>
          <w:rFonts w:cs="Arial"/>
          <w:sz w:val="26"/>
          <w:szCs w:val="26"/>
        </w:rPr>
        <w:t>T</w:t>
      </w:r>
      <w:r w:rsidR="009A3038">
        <w:rPr>
          <w:rFonts w:cs="Arial"/>
          <w:sz w:val="26"/>
          <w:szCs w:val="26"/>
        </w:rPr>
        <w:t xml:space="preserve">he consultation </w:t>
      </w:r>
      <w:r>
        <w:rPr>
          <w:rFonts w:cs="Arial"/>
          <w:sz w:val="26"/>
          <w:szCs w:val="26"/>
        </w:rPr>
        <w:t xml:space="preserve">also </w:t>
      </w:r>
      <w:r w:rsidR="00C94C39">
        <w:rPr>
          <w:rFonts w:cs="Arial"/>
          <w:sz w:val="26"/>
          <w:szCs w:val="26"/>
        </w:rPr>
        <w:t xml:space="preserve">restates </w:t>
      </w:r>
      <w:r w:rsidR="009A3038">
        <w:rPr>
          <w:rFonts w:cs="Arial"/>
          <w:sz w:val="26"/>
          <w:szCs w:val="26"/>
        </w:rPr>
        <w:t>the government’s intention for schools to have more responsibility in future for commissioning alternative provision</w:t>
      </w:r>
      <w:r>
        <w:rPr>
          <w:rFonts w:cs="Arial"/>
          <w:sz w:val="26"/>
          <w:szCs w:val="26"/>
        </w:rPr>
        <w:t xml:space="preserve"> and has promised to issue more information on this </w:t>
      </w:r>
      <w:r w:rsidR="00C94C39">
        <w:rPr>
          <w:rFonts w:cs="Arial"/>
          <w:sz w:val="26"/>
          <w:szCs w:val="26"/>
        </w:rPr>
        <w:t xml:space="preserve">at a </w:t>
      </w:r>
      <w:r>
        <w:rPr>
          <w:rFonts w:cs="Arial"/>
          <w:sz w:val="26"/>
          <w:szCs w:val="26"/>
        </w:rPr>
        <w:t>later</w:t>
      </w:r>
      <w:r w:rsidR="00C94C39">
        <w:rPr>
          <w:rFonts w:cs="Arial"/>
          <w:sz w:val="26"/>
          <w:szCs w:val="26"/>
        </w:rPr>
        <w:t xml:space="preserve"> date</w:t>
      </w:r>
      <w:r w:rsidR="009A3038">
        <w:rPr>
          <w:rFonts w:cs="Arial"/>
          <w:sz w:val="26"/>
          <w:szCs w:val="26"/>
        </w:rPr>
        <w:t>.</w:t>
      </w:r>
    </w:p>
    <w:p w:rsidR="009A3038" w:rsidP="00EC3F61" w:rsidRDefault="009A3038">
      <w:pPr>
        <w:rPr>
          <w:rFonts w:cs="Arial"/>
          <w:sz w:val="26"/>
          <w:szCs w:val="26"/>
        </w:rPr>
      </w:pPr>
    </w:p>
    <w:p w:rsidRPr="00210926" w:rsidR="00210926" w:rsidP="00210926" w:rsidRDefault="00210926">
      <w:pPr>
        <w:rPr>
          <w:rFonts w:cs="Arial"/>
          <w:sz w:val="26"/>
          <w:szCs w:val="26"/>
        </w:rPr>
      </w:pPr>
      <w:r>
        <w:rPr>
          <w:rFonts w:cs="Arial"/>
          <w:sz w:val="26"/>
          <w:szCs w:val="26"/>
        </w:rPr>
        <w:t xml:space="preserve">Finally, the consultation document confirms that there will be a new </w:t>
      </w:r>
      <w:r w:rsidR="00B341BF">
        <w:rPr>
          <w:rFonts w:cs="Arial"/>
          <w:sz w:val="26"/>
          <w:szCs w:val="26"/>
        </w:rPr>
        <w:t>D</w:t>
      </w:r>
      <w:r w:rsidRPr="00210926">
        <w:rPr>
          <w:rFonts w:cs="Arial"/>
          <w:sz w:val="26"/>
          <w:szCs w:val="26"/>
        </w:rPr>
        <w:t xml:space="preserve">isability </w:t>
      </w:r>
      <w:r w:rsidR="00B341BF">
        <w:rPr>
          <w:rFonts w:cs="Arial"/>
          <w:sz w:val="26"/>
          <w:szCs w:val="26"/>
        </w:rPr>
        <w:t>A</w:t>
      </w:r>
      <w:r w:rsidRPr="00210926">
        <w:rPr>
          <w:rFonts w:cs="Arial"/>
          <w:sz w:val="26"/>
          <w:szCs w:val="26"/>
        </w:rPr>
        <w:t xml:space="preserve">ccess </w:t>
      </w:r>
      <w:r w:rsidR="00B341BF">
        <w:rPr>
          <w:rFonts w:cs="Arial"/>
          <w:sz w:val="26"/>
          <w:szCs w:val="26"/>
        </w:rPr>
        <w:t>F</w:t>
      </w:r>
      <w:r w:rsidRPr="00210926">
        <w:rPr>
          <w:rFonts w:cs="Arial"/>
          <w:sz w:val="26"/>
          <w:szCs w:val="26"/>
        </w:rPr>
        <w:t xml:space="preserve">und of £615 per child per year to support access to early </w:t>
      </w:r>
      <w:proofErr w:type="gramStart"/>
      <w:r w:rsidRPr="00210926">
        <w:rPr>
          <w:rFonts w:cs="Arial"/>
          <w:sz w:val="26"/>
          <w:szCs w:val="26"/>
        </w:rPr>
        <w:t>years</w:t>
      </w:r>
      <w:proofErr w:type="gramEnd"/>
      <w:r w:rsidRPr="00210926">
        <w:rPr>
          <w:rFonts w:cs="Arial"/>
          <w:sz w:val="26"/>
          <w:szCs w:val="26"/>
        </w:rPr>
        <w:t xml:space="preserve"> provision. This fund will be for three and four-year olds who are taking up their free entitlement and are in receipt of disability living allowance. </w:t>
      </w:r>
      <w:r>
        <w:rPr>
          <w:rFonts w:cs="Arial"/>
          <w:sz w:val="26"/>
          <w:szCs w:val="26"/>
        </w:rPr>
        <w:t xml:space="preserve">Also LAs will be required to </w:t>
      </w:r>
      <w:r w:rsidRPr="00210926">
        <w:rPr>
          <w:rFonts w:cs="Arial"/>
          <w:sz w:val="26"/>
          <w:szCs w:val="26"/>
        </w:rPr>
        <w:t xml:space="preserve">build on existing good practice </w:t>
      </w:r>
      <w:r>
        <w:rPr>
          <w:rFonts w:cs="Arial"/>
          <w:sz w:val="26"/>
          <w:szCs w:val="26"/>
        </w:rPr>
        <w:t xml:space="preserve">and have </w:t>
      </w:r>
      <w:r w:rsidRPr="00210926">
        <w:rPr>
          <w:rFonts w:cs="Arial"/>
          <w:sz w:val="26"/>
          <w:szCs w:val="26"/>
        </w:rPr>
        <w:t xml:space="preserve">a local SEN inclusion fund, by April 2017, to support providers in improving outcomes for young children with SEN. Local authorities will need to include this in their local offer. </w:t>
      </w:r>
    </w:p>
    <w:p w:rsidR="00210926" w:rsidP="00EC3F61" w:rsidRDefault="00210926">
      <w:pPr>
        <w:rPr>
          <w:rFonts w:cs="Arial"/>
          <w:sz w:val="26"/>
          <w:szCs w:val="26"/>
        </w:rPr>
      </w:pPr>
    </w:p>
    <w:p w:rsidR="009A3038" w:rsidP="00EC3F61" w:rsidRDefault="009A3038">
      <w:pPr>
        <w:rPr>
          <w:rFonts w:cs="Arial"/>
          <w:sz w:val="26"/>
          <w:szCs w:val="26"/>
        </w:rPr>
      </w:pPr>
      <w:r>
        <w:rPr>
          <w:rFonts w:cs="Arial"/>
          <w:sz w:val="26"/>
          <w:szCs w:val="26"/>
        </w:rPr>
        <w:t xml:space="preserve">A further report on the High Needs consultation will be considered at the Forum’s next meeting in February 2017. </w:t>
      </w:r>
    </w:p>
    <w:p w:rsidRPr="005E14A1" w:rsidR="00331809" w:rsidP="00EC3F61" w:rsidRDefault="00331809">
      <w:pPr>
        <w:rPr>
          <w:rFonts w:cs="Arial"/>
          <w:sz w:val="26"/>
          <w:szCs w:val="26"/>
        </w:rPr>
      </w:pPr>
    </w:p>
    <w:p w:rsidRPr="005E14A1" w:rsidR="0031193E" w:rsidP="0031193E" w:rsidRDefault="00A0266A">
      <w:pPr>
        <w:rPr>
          <w:rFonts w:cs="Arial"/>
          <w:b/>
          <w:sz w:val="26"/>
          <w:szCs w:val="26"/>
          <w:u w:val="single"/>
        </w:rPr>
      </w:pPr>
      <w:r w:rsidRPr="005E14A1">
        <w:rPr>
          <w:rFonts w:cs="Arial"/>
          <w:b/>
          <w:sz w:val="26"/>
          <w:szCs w:val="26"/>
        </w:rPr>
        <w:t>5</w:t>
      </w:r>
      <w:r w:rsidRPr="005E14A1" w:rsidR="006D1BE8">
        <w:rPr>
          <w:rFonts w:cs="Arial"/>
          <w:b/>
          <w:sz w:val="26"/>
          <w:szCs w:val="26"/>
        </w:rPr>
        <w:t>.</w:t>
      </w:r>
      <w:r w:rsidRPr="005E14A1" w:rsidR="0031193E">
        <w:rPr>
          <w:rFonts w:cs="Arial"/>
          <w:b/>
          <w:sz w:val="26"/>
          <w:szCs w:val="26"/>
        </w:rPr>
        <w:t xml:space="preserve"> </w:t>
      </w:r>
      <w:r w:rsidRPr="005E14A1" w:rsidR="0031193E">
        <w:rPr>
          <w:rFonts w:cs="Arial"/>
          <w:b/>
          <w:sz w:val="26"/>
          <w:szCs w:val="26"/>
        </w:rPr>
        <w:tab/>
      </w:r>
      <w:r w:rsidRPr="005E14A1" w:rsidR="0031193E">
        <w:rPr>
          <w:rFonts w:cs="Arial"/>
          <w:b/>
          <w:sz w:val="26"/>
          <w:szCs w:val="26"/>
          <w:u w:val="single"/>
        </w:rPr>
        <w:t>Other Considerations</w:t>
      </w:r>
    </w:p>
    <w:p w:rsidRPr="005E14A1" w:rsidR="0031193E" w:rsidP="0031193E" w:rsidRDefault="0031193E">
      <w:pPr>
        <w:ind w:left="284"/>
        <w:jc w:val="both"/>
        <w:rPr>
          <w:rFonts w:cs="Arial"/>
          <w:sz w:val="26"/>
          <w:szCs w:val="26"/>
        </w:rPr>
      </w:pPr>
    </w:p>
    <w:p w:rsidRPr="005E14A1" w:rsidR="0031193E" w:rsidP="00C14739" w:rsidRDefault="0031193E">
      <w:pPr>
        <w:rPr>
          <w:rFonts w:cs="Arial"/>
          <w:sz w:val="26"/>
          <w:szCs w:val="26"/>
        </w:rPr>
      </w:pPr>
      <w:r w:rsidRPr="005E14A1">
        <w:rPr>
          <w:rFonts w:cs="Arial"/>
          <w:sz w:val="26"/>
          <w:szCs w:val="26"/>
        </w:rPr>
        <w:t>In preparing this report the relevance of the following factors has been considered: prevention of crime &amp; disorder, equality of opportunity, human resources, legal &amp; human rights, environmental, financial, health, property and transport considerations.</w:t>
      </w:r>
    </w:p>
    <w:p w:rsidRPr="005E14A1" w:rsidR="00826324" w:rsidP="00826324" w:rsidRDefault="00826324">
      <w:pPr>
        <w:rPr>
          <w:rFonts w:cs="Arial"/>
          <w:b/>
          <w:sz w:val="26"/>
          <w:szCs w:val="26"/>
        </w:rPr>
      </w:pPr>
    </w:p>
    <w:p w:rsidRPr="005E14A1" w:rsidR="00261E9C" w:rsidP="00261E9C" w:rsidRDefault="006D1BE8">
      <w:pPr>
        <w:rPr>
          <w:rFonts w:cs="Arial"/>
          <w:b/>
          <w:sz w:val="26"/>
          <w:szCs w:val="26"/>
          <w:u w:val="single"/>
        </w:rPr>
      </w:pPr>
      <w:r w:rsidRPr="005E14A1">
        <w:rPr>
          <w:rFonts w:cs="Arial"/>
          <w:b/>
          <w:sz w:val="26"/>
          <w:szCs w:val="26"/>
        </w:rPr>
        <w:t>6</w:t>
      </w:r>
      <w:r w:rsidRPr="005E14A1" w:rsidR="0031193E">
        <w:rPr>
          <w:rFonts w:cs="Arial"/>
          <w:b/>
          <w:sz w:val="26"/>
          <w:szCs w:val="26"/>
        </w:rPr>
        <w:t>.</w:t>
      </w:r>
      <w:r w:rsidRPr="005E14A1" w:rsidR="00261E9C">
        <w:rPr>
          <w:rFonts w:cs="Arial"/>
          <w:b/>
          <w:sz w:val="26"/>
          <w:szCs w:val="26"/>
        </w:rPr>
        <w:tab/>
      </w:r>
      <w:r w:rsidRPr="005E14A1" w:rsidR="00261E9C">
        <w:rPr>
          <w:rFonts w:cs="Arial"/>
          <w:b/>
          <w:sz w:val="26"/>
          <w:szCs w:val="26"/>
          <w:u w:val="single"/>
        </w:rPr>
        <w:t>Strategic Director’s Recommendations</w:t>
      </w:r>
    </w:p>
    <w:p w:rsidRPr="005E14A1" w:rsidR="006845BD" w:rsidP="006845BD" w:rsidRDefault="006845BD">
      <w:pPr>
        <w:ind w:left="709" w:hanging="709"/>
        <w:rPr>
          <w:rFonts w:cs="Arial"/>
          <w:sz w:val="26"/>
          <w:szCs w:val="26"/>
        </w:rPr>
      </w:pPr>
    </w:p>
    <w:p w:rsidR="0020487D" w:rsidP="00261E9C" w:rsidRDefault="006D1BE8">
      <w:pPr>
        <w:rPr>
          <w:rFonts w:cs="Arial"/>
          <w:sz w:val="26"/>
          <w:szCs w:val="26"/>
        </w:rPr>
      </w:pPr>
      <w:r w:rsidRPr="005E14A1">
        <w:rPr>
          <w:rFonts w:cs="Arial"/>
          <w:sz w:val="26"/>
          <w:szCs w:val="26"/>
        </w:rPr>
        <w:t>The Schools Forum is asked to</w:t>
      </w:r>
      <w:r w:rsidR="0020487D">
        <w:rPr>
          <w:rFonts w:cs="Arial"/>
          <w:sz w:val="26"/>
          <w:szCs w:val="26"/>
        </w:rPr>
        <w:t>:</w:t>
      </w:r>
    </w:p>
    <w:p w:rsidR="0020487D" w:rsidP="00261E9C" w:rsidRDefault="0020487D">
      <w:pPr>
        <w:rPr>
          <w:rFonts w:cs="Arial"/>
          <w:sz w:val="26"/>
          <w:szCs w:val="26"/>
        </w:rPr>
      </w:pPr>
    </w:p>
    <w:p w:rsidR="0020487D" w:rsidP="0020487D" w:rsidRDefault="0020487D">
      <w:pPr>
        <w:pStyle w:val="ListParagraph"/>
        <w:numPr>
          <w:ilvl w:val="0"/>
          <w:numId w:val="46"/>
        </w:numPr>
        <w:rPr>
          <w:rFonts w:cs="Arial"/>
          <w:sz w:val="26"/>
          <w:szCs w:val="26"/>
        </w:rPr>
      </w:pPr>
      <w:r w:rsidRPr="0020487D">
        <w:rPr>
          <w:rFonts w:cs="Arial"/>
          <w:sz w:val="26"/>
          <w:szCs w:val="26"/>
        </w:rPr>
        <w:t xml:space="preserve">note the report </w:t>
      </w:r>
      <w:r>
        <w:rPr>
          <w:rFonts w:cs="Arial"/>
          <w:sz w:val="26"/>
          <w:szCs w:val="26"/>
        </w:rPr>
        <w:t xml:space="preserve">and offer its </w:t>
      </w:r>
      <w:r w:rsidR="00C94C39">
        <w:rPr>
          <w:rFonts w:cs="Arial"/>
          <w:sz w:val="26"/>
          <w:szCs w:val="26"/>
        </w:rPr>
        <w:t xml:space="preserve">initial </w:t>
      </w:r>
      <w:r>
        <w:rPr>
          <w:rFonts w:cs="Arial"/>
          <w:sz w:val="26"/>
          <w:szCs w:val="26"/>
        </w:rPr>
        <w:t>views on the government’s proposals; and</w:t>
      </w:r>
    </w:p>
    <w:p w:rsidRPr="0020487D" w:rsidR="006D1BE8" w:rsidP="0020487D" w:rsidRDefault="0020487D">
      <w:pPr>
        <w:pStyle w:val="ListParagraph"/>
        <w:numPr>
          <w:ilvl w:val="0"/>
          <w:numId w:val="46"/>
        </w:numPr>
        <w:rPr>
          <w:rFonts w:cs="Arial"/>
          <w:sz w:val="26"/>
          <w:szCs w:val="26"/>
        </w:rPr>
      </w:pPr>
      <w:proofErr w:type="gramStart"/>
      <w:r>
        <w:rPr>
          <w:rFonts w:cs="Arial"/>
          <w:sz w:val="26"/>
          <w:szCs w:val="26"/>
        </w:rPr>
        <w:t>agree</w:t>
      </w:r>
      <w:proofErr w:type="gramEnd"/>
      <w:r>
        <w:rPr>
          <w:rFonts w:cs="Arial"/>
          <w:sz w:val="26"/>
          <w:szCs w:val="26"/>
        </w:rPr>
        <w:t xml:space="preserve"> to receive a further report at its February meeting </w:t>
      </w:r>
      <w:r w:rsidR="0059742C">
        <w:rPr>
          <w:rFonts w:cs="Arial"/>
          <w:sz w:val="26"/>
          <w:szCs w:val="26"/>
        </w:rPr>
        <w:t xml:space="preserve">and </w:t>
      </w:r>
      <w:r>
        <w:rPr>
          <w:rFonts w:cs="Arial"/>
          <w:sz w:val="26"/>
          <w:szCs w:val="26"/>
        </w:rPr>
        <w:t>consider a formal response</w:t>
      </w:r>
      <w:r w:rsidR="0059742C">
        <w:rPr>
          <w:rFonts w:cs="Arial"/>
          <w:sz w:val="26"/>
          <w:szCs w:val="26"/>
        </w:rPr>
        <w:t xml:space="preserve"> to the consultation</w:t>
      </w:r>
      <w:r>
        <w:rPr>
          <w:rFonts w:cs="Arial"/>
          <w:sz w:val="26"/>
          <w:szCs w:val="26"/>
        </w:rPr>
        <w:t>.</w:t>
      </w:r>
    </w:p>
    <w:p w:rsidRPr="005E14A1" w:rsidR="00331809" w:rsidP="00261E9C" w:rsidRDefault="00331809">
      <w:pPr>
        <w:rPr>
          <w:rFonts w:cs="Arial"/>
          <w:sz w:val="26"/>
          <w:szCs w:val="26"/>
        </w:rPr>
      </w:pPr>
    </w:p>
    <w:p w:rsidRPr="005E14A1" w:rsidR="00331809" w:rsidP="00261E9C" w:rsidRDefault="00331809">
      <w:pPr>
        <w:rPr>
          <w:rFonts w:cs="Arial"/>
          <w:sz w:val="26"/>
          <w:szCs w:val="26"/>
        </w:rPr>
      </w:pPr>
    </w:p>
    <w:p w:rsidRPr="005E14A1" w:rsidR="006D1BE8" w:rsidP="00261E9C" w:rsidRDefault="006D1BE8">
      <w:pPr>
        <w:rPr>
          <w:rFonts w:cs="Arial"/>
          <w:sz w:val="26"/>
          <w:szCs w:val="26"/>
        </w:rPr>
      </w:pPr>
    </w:p>
    <w:p w:rsidRPr="005E14A1" w:rsidR="00CF160D" w:rsidP="00CF160D" w:rsidRDefault="00CF160D">
      <w:pPr>
        <w:ind w:left="709"/>
        <w:jc w:val="center"/>
        <w:rPr>
          <w:rFonts w:cs="Arial"/>
          <w:b/>
          <w:sz w:val="26"/>
          <w:szCs w:val="26"/>
        </w:rPr>
      </w:pPr>
      <w:r w:rsidRPr="005E14A1">
        <w:rPr>
          <w:rFonts w:cs="Arial"/>
          <w:b/>
          <w:sz w:val="26"/>
          <w:szCs w:val="26"/>
        </w:rPr>
        <w:t>JANE PARFREMENT</w:t>
      </w:r>
    </w:p>
    <w:p w:rsidRPr="005E14A1" w:rsidR="005E14A1" w:rsidP="005E14A1" w:rsidRDefault="00CF160D">
      <w:pPr>
        <w:ind w:left="709"/>
        <w:jc w:val="center"/>
        <w:rPr>
          <w:rFonts w:cs="Arial"/>
          <w:b/>
          <w:sz w:val="26"/>
          <w:szCs w:val="26"/>
        </w:rPr>
        <w:sectPr w:rsidRPr="005E14A1" w:rsidR="005E14A1" w:rsidSect="00B04D7D">
          <w:footerReference w:type="default" r:id="rId12"/>
          <w:pgSz w:w="11906" w:h="16838"/>
          <w:pgMar w:top="568" w:right="991" w:bottom="567" w:left="993" w:header="708" w:footer="708" w:gutter="0"/>
          <w:cols w:space="708"/>
          <w:docGrid w:linePitch="360"/>
        </w:sectPr>
      </w:pPr>
      <w:r w:rsidRPr="005E14A1">
        <w:rPr>
          <w:rFonts w:cs="Arial"/>
          <w:b/>
          <w:sz w:val="26"/>
          <w:szCs w:val="26"/>
        </w:rPr>
        <w:t>Strategic Director for Children’s Services</w:t>
      </w:r>
    </w:p>
    <w:p w:rsidRPr="005E14A1" w:rsidR="005E14A1" w:rsidP="005E14A1" w:rsidRDefault="0020487D">
      <w:pPr>
        <w:tabs>
          <w:tab w:val="left" w:pos="7938"/>
        </w:tabs>
        <w:rPr>
          <w:rFonts w:cs="Arial"/>
          <w:sz w:val="26"/>
          <w:szCs w:val="26"/>
        </w:rPr>
      </w:pPr>
      <w:r>
        <w:rPr>
          <w:rFonts w:cs="Arial"/>
          <w:b/>
          <w:sz w:val="26"/>
          <w:szCs w:val="26"/>
          <w:u w:val="single"/>
        </w:rPr>
        <w:t>High Needs Block NFF - c</w:t>
      </w:r>
      <w:r w:rsidRPr="005E14A1" w:rsidR="005E14A1">
        <w:rPr>
          <w:rFonts w:cs="Arial"/>
          <w:b/>
          <w:sz w:val="26"/>
          <w:szCs w:val="26"/>
          <w:u w:val="single"/>
        </w:rPr>
        <w:t>onsultation questions</w:t>
      </w:r>
      <w:r w:rsidRPr="005E14A1" w:rsidR="005E14A1">
        <w:rPr>
          <w:rFonts w:cs="Arial"/>
          <w:sz w:val="26"/>
          <w:szCs w:val="26"/>
        </w:rPr>
        <w:tab/>
      </w:r>
      <w:r w:rsidRPr="005E14A1" w:rsidR="005E14A1">
        <w:rPr>
          <w:rFonts w:cs="Arial"/>
          <w:b/>
          <w:sz w:val="26"/>
          <w:szCs w:val="26"/>
          <w:u w:val="single"/>
        </w:rPr>
        <w:t>Appendix 1</w:t>
      </w:r>
    </w:p>
    <w:p w:rsidRPr="005E14A1" w:rsidR="005E14A1" w:rsidP="005E14A1" w:rsidRDefault="005E14A1">
      <w:pPr>
        <w:rPr>
          <w:rFonts w:cs="Arial"/>
          <w:sz w:val="26"/>
          <w:szCs w:val="26"/>
        </w:rPr>
      </w:pPr>
    </w:p>
    <w:p w:rsidRPr="005E14A1" w:rsidR="005E14A1" w:rsidP="005E14A1" w:rsidRDefault="005E14A1">
      <w:pPr>
        <w:pStyle w:val="Default"/>
        <w:rPr>
          <w:sz w:val="26"/>
          <w:szCs w:val="26"/>
        </w:rPr>
      </w:pPr>
      <w:r w:rsidRPr="005E14A1">
        <w:rPr>
          <w:b/>
          <w:bCs/>
          <w:sz w:val="26"/>
          <w:szCs w:val="26"/>
        </w:rPr>
        <w:t xml:space="preserve">Question 1 - </w:t>
      </w:r>
      <w:r w:rsidRPr="005E14A1">
        <w:rPr>
          <w:sz w:val="26"/>
          <w:szCs w:val="26"/>
        </w:rPr>
        <w:t>In designing our national funding formula, we have taken careful steps to balance the principles of fairness and stability. Do you think we have struck the right balan</w:t>
      </w:r>
      <w:bookmarkStart w:name="_GoBack" w:id="0"/>
      <w:bookmarkEnd w:id="0"/>
      <w:r w:rsidRPr="005E14A1">
        <w:rPr>
          <w:sz w:val="26"/>
          <w:szCs w:val="26"/>
        </w:rPr>
        <w:t xml:space="preserve">ce? </w:t>
      </w:r>
    </w:p>
    <w:p w:rsidRPr="005E14A1" w:rsidR="005E14A1" w:rsidP="005E14A1" w:rsidRDefault="005E14A1">
      <w:pPr>
        <w:rPr>
          <w:rFonts w:cs="Arial"/>
          <w:sz w:val="26"/>
          <w:szCs w:val="26"/>
        </w:rPr>
      </w:pPr>
    </w:p>
    <w:p w:rsidRPr="005E14A1" w:rsidR="005E14A1" w:rsidP="005E14A1" w:rsidRDefault="005E14A1">
      <w:pPr>
        <w:pStyle w:val="Default"/>
        <w:rPr>
          <w:sz w:val="26"/>
          <w:szCs w:val="26"/>
        </w:rPr>
      </w:pPr>
      <w:r w:rsidRPr="005E14A1">
        <w:rPr>
          <w:b/>
          <w:bCs/>
          <w:sz w:val="26"/>
          <w:szCs w:val="26"/>
        </w:rPr>
        <w:t xml:space="preserve">Question 2 - </w:t>
      </w:r>
      <w:r w:rsidRPr="005E14A1">
        <w:rPr>
          <w:sz w:val="26"/>
          <w:szCs w:val="26"/>
        </w:rPr>
        <w:t xml:space="preserve">We are proposing a formula comprising a number of formula factors with different values and weightings. Do you agree with the following proposals? </w:t>
      </w:r>
    </w:p>
    <w:p w:rsidR="005E14A1" w:rsidP="005E14A1" w:rsidRDefault="005E14A1">
      <w:pPr>
        <w:pStyle w:val="Default"/>
        <w:ind w:left="426"/>
        <w:rPr>
          <w:sz w:val="26"/>
          <w:szCs w:val="26"/>
        </w:rPr>
      </w:pPr>
    </w:p>
    <w:p w:rsidRPr="005E14A1" w:rsidR="005E14A1" w:rsidP="005E14A1" w:rsidRDefault="005E14A1">
      <w:pPr>
        <w:pStyle w:val="Default"/>
        <w:ind w:left="426"/>
        <w:rPr>
          <w:sz w:val="26"/>
          <w:szCs w:val="26"/>
        </w:rPr>
      </w:pPr>
      <w:r w:rsidRPr="005E14A1">
        <w:rPr>
          <w:sz w:val="26"/>
          <w:szCs w:val="26"/>
        </w:rPr>
        <w:t xml:space="preserve">• Historic spend factor – to allocate to each local authority a sum equal to 50% of its planned spending baseline </w:t>
      </w:r>
    </w:p>
    <w:p w:rsidRPr="005E14A1" w:rsidR="005E14A1" w:rsidP="005E14A1" w:rsidRDefault="005E14A1">
      <w:pPr>
        <w:pStyle w:val="Default"/>
        <w:ind w:left="426"/>
        <w:rPr>
          <w:sz w:val="26"/>
          <w:szCs w:val="26"/>
        </w:rPr>
      </w:pPr>
      <w:r w:rsidRPr="005E14A1">
        <w:rPr>
          <w:sz w:val="26"/>
          <w:szCs w:val="26"/>
        </w:rPr>
        <w:t xml:space="preserve">• Basic entitlement – to allocate to each local authority £4,000 per pupil </w:t>
      </w:r>
    </w:p>
    <w:p w:rsidRPr="005E14A1" w:rsidR="005E14A1" w:rsidP="005E14A1" w:rsidRDefault="005E14A1">
      <w:pPr>
        <w:rPr>
          <w:rFonts w:cs="Arial"/>
          <w:sz w:val="26"/>
          <w:szCs w:val="26"/>
        </w:rPr>
      </w:pPr>
    </w:p>
    <w:p w:rsidR="005E14A1" w:rsidP="005E14A1" w:rsidRDefault="005E14A1">
      <w:pPr>
        <w:pStyle w:val="Default"/>
        <w:rPr>
          <w:sz w:val="26"/>
          <w:szCs w:val="26"/>
        </w:rPr>
      </w:pPr>
      <w:r w:rsidRPr="005E14A1">
        <w:rPr>
          <w:b/>
          <w:bCs/>
          <w:sz w:val="26"/>
          <w:szCs w:val="26"/>
        </w:rPr>
        <w:t xml:space="preserve">Question 3 - </w:t>
      </w:r>
      <w:r w:rsidRPr="005E14A1">
        <w:rPr>
          <w:sz w:val="26"/>
          <w:szCs w:val="26"/>
        </w:rPr>
        <w:t xml:space="preserve">We propose to use the following weightings for each of the formula factors listed below, adding up to 100%. Do you agree? </w:t>
      </w:r>
    </w:p>
    <w:p w:rsidRPr="005E14A1" w:rsidR="005E14A1" w:rsidP="005E14A1" w:rsidRDefault="005E14A1">
      <w:pPr>
        <w:pStyle w:val="Default"/>
        <w:rPr>
          <w:sz w:val="26"/>
          <w:szCs w:val="26"/>
        </w:rPr>
      </w:pPr>
    </w:p>
    <w:p w:rsidRPr="005E14A1" w:rsidR="005E14A1" w:rsidP="005E14A1" w:rsidRDefault="005E14A1">
      <w:pPr>
        <w:pStyle w:val="Default"/>
        <w:ind w:left="426"/>
        <w:rPr>
          <w:sz w:val="26"/>
          <w:szCs w:val="26"/>
        </w:rPr>
      </w:pPr>
      <w:r w:rsidRPr="005E14A1">
        <w:rPr>
          <w:sz w:val="26"/>
          <w:szCs w:val="26"/>
        </w:rPr>
        <w:t xml:space="preserve">• Population – 50% </w:t>
      </w:r>
    </w:p>
    <w:p w:rsidRPr="005E14A1" w:rsidR="005E14A1" w:rsidP="005E14A1" w:rsidRDefault="005E14A1">
      <w:pPr>
        <w:pStyle w:val="Default"/>
        <w:ind w:left="426"/>
        <w:rPr>
          <w:sz w:val="26"/>
          <w:szCs w:val="26"/>
        </w:rPr>
      </w:pPr>
      <w:r w:rsidRPr="005E14A1">
        <w:rPr>
          <w:sz w:val="26"/>
          <w:szCs w:val="26"/>
        </w:rPr>
        <w:t xml:space="preserve">• Free school meals eligibility – 10% </w:t>
      </w:r>
    </w:p>
    <w:p w:rsidRPr="005E14A1" w:rsidR="005E14A1" w:rsidP="005E14A1" w:rsidRDefault="005E14A1">
      <w:pPr>
        <w:pStyle w:val="Default"/>
        <w:ind w:left="426"/>
        <w:rPr>
          <w:sz w:val="26"/>
          <w:szCs w:val="26"/>
        </w:rPr>
      </w:pPr>
      <w:r w:rsidRPr="005E14A1">
        <w:rPr>
          <w:sz w:val="26"/>
          <w:szCs w:val="26"/>
        </w:rPr>
        <w:t xml:space="preserve">• IDACI – 10% </w:t>
      </w:r>
    </w:p>
    <w:p w:rsidRPr="005E14A1" w:rsidR="005E14A1" w:rsidP="005E14A1" w:rsidRDefault="005E14A1">
      <w:pPr>
        <w:pStyle w:val="Default"/>
        <w:ind w:left="426"/>
        <w:rPr>
          <w:sz w:val="26"/>
          <w:szCs w:val="26"/>
        </w:rPr>
      </w:pPr>
      <w:r w:rsidRPr="005E14A1">
        <w:rPr>
          <w:sz w:val="26"/>
          <w:szCs w:val="26"/>
        </w:rPr>
        <w:t xml:space="preserve">• Key stage 2 low attainment – 7.5% </w:t>
      </w:r>
    </w:p>
    <w:p w:rsidRPr="005E14A1" w:rsidR="005E14A1" w:rsidP="005E14A1" w:rsidRDefault="005E14A1">
      <w:pPr>
        <w:pStyle w:val="Default"/>
        <w:ind w:left="426"/>
        <w:rPr>
          <w:sz w:val="26"/>
          <w:szCs w:val="26"/>
        </w:rPr>
      </w:pPr>
      <w:r w:rsidRPr="005E14A1">
        <w:rPr>
          <w:sz w:val="26"/>
          <w:szCs w:val="26"/>
        </w:rPr>
        <w:t xml:space="preserve">• Key stage 4 low attainment – 7.5% </w:t>
      </w:r>
    </w:p>
    <w:p w:rsidRPr="005E14A1" w:rsidR="005E14A1" w:rsidP="005E14A1" w:rsidRDefault="005E14A1">
      <w:pPr>
        <w:pStyle w:val="Default"/>
        <w:ind w:left="426"/>
        <w:rPr>
          <w:sz w:val="26"/>
          <w:szCs w:val="26"/>
        </w:rPr>
      </w:pPr>
      <w:r w:rsidRPr="005E14A1">
        <w:rPr>
          <w:sz w:val="26"/>
          <w:szCs w:val="26"/>
        </w:rPr>
        <w:t xml:space="preserve">• Children in bad health – 7.5% </w:t>
      </w:r>
    </w:p>
    <w:p w:rsidRPr="005E14A1" w:rsidR="005E14A1" w:rsidP="005E14A1" w:rsidRDefault="005E14A1">
      <w:pPr>
        <w:pStyle w:val="Default"/>
        <w:ind w:left="426"/>
        <w:rPr>
          <w:sz w:val="26"/>
          <w:szCs w:val="26"/>
        </w:rPr>
      </w:pPr>
      <w:r w:rsidRPr="005E14A1">
        <w:rPr>
          <w:sz w:val="26"/>
          <w:szCs w:val="26"/>
        </w:rPr>
        <w:t xml:space="preserve">• Disability living allowance – 7.5% </w:t>
      </w:r>
    </w:p>
    <w:p w:rsidRPr="005E14A1" w:rsidR="005E14A1" w:rsidP="005E14A1" w:rsidRDefault="005E14A1">
      <w:pPr>
        <w:rPr>
          <w:rFonts w:cs="Arial"/>
          <w:sz w:val="26"/>
          <w:szCs w:val="26"/>
        </w:rPr>
      </w:pPr>
    </w:p>
    <w:p w:rsidRPr="005E14A1" w:rsidR="005E14A1" w:rsidP="005E14A1" w:rsidRDefault="005E14A1">
      <w:pPr>
        <w:pStyle w:val="Default"/>
        <w:rPr>
          <w:sz w:val="26"/>
          <w:szCs w:val="26"/>
        </w:rPr>
      </w:pPr>
      <w:r w:rsidRPr="005E14A1">
        <w:rPr>
          <w:b/>
          <w:bCs/>
          <w:sz w:val="26"/>
          <w:szCs w:val="26"/>
        </w:rPr>
        <w:t xml:space="preserve">Question 4 - </w:t>
      </w:r>
      <w:r w:rsidRPr="005E14A1">
        <w:rPr>
          <w:sz w:val="26"/>
          <w:szCs w:val="26"/>
        </w:rPr>
        <w:t xml:space="preserve">Do you agree with the principle of protecting local authorities from reductions in funding as a result of this formula? This is referred to as a funding floor in this document. </w:t>
      </w:r>
    </w:p>
    <w:p w:rsidRPr="005E14A1" w:rsidR="005E14A1" w:rsidP="005E14A1" w:rsidRDefault="005E14A1">
      <w:pPr>
        <w:rPr>
          <w:rFonts w:cs="Arial"/>
          <w:sz w:val="26"/>
          <w:szCs w:val="26"/>
        </w:rPr>
      </w:pPr>
    </w:p>
    <w:p w:rsidRPr="005E14A1" w:rsidR="005E14A1" w:rsidP="005E14A1" w:rsidRDefault="005E14A1">
      <w:pPr>
        <w:pStyle w:val="Default"/>
        <w:rPr>
          <w:sz w:val="26"/>
          <w:szCs w:val="26"/>
        </w:rPr>
      </w:pPr>
      <w:r w:rsidRPr="005E14A1">
        <w:rPr>
          <w:b/>
          <w:bCs/>
          <w:sz w:val="26"/>
          <w:szCs w:val="26"/>
        </w:rPr>
        <w:t xml:space="preserve">Question 5 - </w:t>
      </w:r>
      <w:r w:rsidRPr="005E14A1">
        <w:rPr>
          <w:sz w:val="26"/>
          <w:szCs w:val="26"/>
        </w:rPr>
        <w:t xml:space="preserve">Do you support our proposal to set the funding floor such that no local authority will see a reduction in funding, compared to their spending baseline? </w:t>
      </w:r>
    </w:p>
    <w:p w:rsidRPr="005E14A1" w:rsidR="005E14A1" w:rsidP="005E14A1" w:rsidRDefault="005E14A1">
      <w:pPr>
        <w:rPr>
          <w:rFonts w:cs="Arial"/>
          <w:sz w:val="26"/>
          <w:szCs w:val="26"/>
        </w:rPr>
      </w:pPr>
    </w:p>
    <w:p w:rsidRPr="005E14A1" w:rsidR="005E14A1" w:rsidP="005E14A1" w:rsidRDefault="005E14A1">
      <w:pPr>
        <w:pStyle w:val="Default"/>
        <w:rPr>
          <w:sz w:val="26"/>
          <w:szCs w:val="26"/>
        </w:rPr>
      </w:pPr>
      <w:r w:rsidRPr="005E14A1">
        <w:rPr>
          <w:b/>
          <w:bCs/>
          <w:sz w:val="26"/>
          <w:szCs w:val="26"/>
        </w:rPr>
        <w:t xml:space="preserve">Question 6 - </w:t>
      </w:r>
      <w:r w:rsidRPr="005E14A1">
        <w:rPr>
          <w:sz w:val="26"/>
          <w:szCs w:val="26"/>
        </w:rPr>
        <w:t xml:space="preserve">Do you agree with our proposals to allow limited flexibility between schools and high needs budgets in 2018-19? </w:t>
      </w:r>
    </w:p>
    <w:p w:rsidRPr="005E14A1" w:rsidR="005E14A1" w:rsidP="005E14A1" w:rsidRDefault="005E14A1">
      <w:pPr>
        <w:rPr>
          <w:rFonts w:cs="Arial"/>
          <w:sz w:val="26"/>
          <w:szCs w:val="26"/>
        </w:rPr>
      </w:pPr>
    </w:p>
    <w:p w:rsidRPr="005E14A1" w:rsidR="005E14A1" w:rsidP="005E14A1" w:rsidRDefault="005E14A1">
      <w:pPr>
        <w:pStyle w:val="Default"/>
        <w:rPr>
          <w:sz w:val="26"/>
          <w:szCs w:val="26"/>
        </w:rPr>
      </w:pPr>
      <w:r w:rsidRPr="005E14A1">
        <w:rPr>
          <w:b/>
          <w:bCs/>
          <w:sz w:val="26"/>
          <w:szCs w:val="26"/>
        </w:rPr>
        <w:t xml:space="preserve">Question 7 - </w:t>
      </w:r>
      <w:r w:rsidRPr="005E14A1">
        <w:rPr>
          <w:sz w:val="26"/>
          <w:szCs w:val="26"/>
        </w:rPr>
        <w:t xml:space="preserve">Do you have any suggestions about the level of flexibility we should allow between schools and high needs budgets in 2019-20 and beyond? </w:t>
      </w:r>
    </w:p>
    <w:p w:rsidRPr="005E14A1" w:rsidR="005E14A1" w:rsidP="005E14A1" w:rsidRDefault="005E14A1">
      <w:pPr>
        <w:rPr>
          <w:rFonts w:cs="Arial"/>
          <w:sz w:val="26"/>
          <w:szCs w:val="26"/>
        </w:rPr>
      </w:pPr>
    </w:p>
    <w:p w:rsidRPr="005E14A1" w:rsidR="005E14A1" w:rsidP="005E14A1" w:rsidRDefault="005E14A1">
      <w:pPr>
        <w:pStyle w:val="Default"/>
        <w:rPr>
          <w:sz w:val="26"/>
          <w:szCs w:val="26"/>
        </w:rPr>
      </w:pPr>
      <w:r w:rsidRPr="005E14A1">
        <w:rPr>
          <w:b/>
          <w:bCs/>
          <w:sz w:val="26"/>
          <w:szCs w:val="26"/>
        </w:rPr>
        <w:t xml:space="preserve">Question 8 - </w:t>
      </w:r>
      <w:r w:rsidRPr="005E14A1">
        <w:rPr>
          <w:sz w:val="26"/>
          <w:szCs w:val="26"/>
        </w:rPr>
        <w:t xml:space="preserve">Are there further considerations we should be taking into account about the proposed high needs national funding formula? </w:t>
      </w:r>
    </w:p>
    <w:p w:rsidRPr="005E14A1" w:rsidR="005E14A1" w:rsidP="005E14A1" w:rsidRDefault="005E14A1">
      <w:pPr>
        <w:rPr>
          <w:rFonts w:cs="Arial"/>
          <w:sz w:val="26"/>
          <w:szCs w:val="26"/>
        </w:rPr>
      </w:pPr>
    </w:p>
    <w:p w:rsidRPr="005E14A1" w:rsidR="005E14A1" w:rsidP="005E14A1" w:rsidRDefault="005E14A1">
      <w:pPr>
        <w:pStyle w:val="Default"/>
        <w:rPr>
          <w:sz w:val="26"/>
          <w:szCs w:val="26"/>
        </w:rPr>
      </w:pPr>
      <w:r w:rsidRPr="005E14A1">
        <w:rPr>
          <w:b/>
          <w:bCs/>
          <w:sz w:val="26"/>
          <w:szCs w:val="26"/>
        </w:rPr>
        <w:t xml:space="preserve">Question 9 - </w:t>
      </w:r>
      <w:r w:rsidRPr="005E14A1">
        <w:rPr>
          <w:sz w:val="26"/>
          <w:szCs w:val="26"/>
        </w:rPr>
        <w:t xml:space="preserve">Is there any evidence relating to the eight protected characteristics as identified in the Equality Act 2010 that is not included in the Equalities Analysis Impact Assessment and that we should take into account? </w:t>
      </w:r>
    </w:p>
    <w:p w:rsidRPr="005E14A1" w:rsidR="0009580B" w:rsidP="005E14A1" w:rsidRDefault="0009580B">
      <w:pPr>
        <w:ind w:left="709"/>
        <w:jc w:val="center"/>
        <w:rPr>
          <w:rFonts w:cs="Arial"/>
          <w:sz w:val="26"/>
          <w:szCs w:val="26"/>
        </w:rPr>
      </w:pPr>
    </w:p>
    <w:sectPr w:rsidRPr="005E14A1" w:rsidR="0009580B" w:rsidSect="00331809">
      <w:pgSz w:w="11906" w:h="16838"/>
      <w:pgMar w:top="568" w:right="1133"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3DD" w:rsidRDefault="00CE73DD" w:rsidP="00912B03">
      <w:r>
        <w:separator/>
      </w:r>
    </w:p>
  </w:endnote>
  <w:endnote w:type="continuationSeparator" w:id="0">
    <w:p w:rsidR="00CE73DD" w:rsidRDefault="00CE73DD" w:rsidP="00912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3183374"/>
      <w:docPartObj>
        <w:docPartGallery w:val="Page Numbers (Bottom of Page)"/>
        <w:docPartUnique/>
      </w:docPartObj>
    </w:sdtPr>
    <w:sdtEndPr>
      <w:rPr>
        <w:noProof/>
      </w:rPr>
    </w:sdtEndPr>
    <w:sdtContent>
      <w:p w:rsidR="00CE73DD" w:rsidRDefault="00CE73DD">
        <w:pPr>
          <w:pStyle w:val="Footer"/>
          <w:jc w:val="center"/>
        </w:pPr>
        <w:r>
          <w:fldChar w:fldCharType="begin"/>
        </w:r>
        <w:r>
          <w:instrText xml:space="preserve"> PAGE   \* MERGEFORMAT </w:instrText>
        </w:r>
        <w:r>
          <w:fldChar w:fldCharType="separate"/>
        </w:r>
        <w:r w:rsidR="00A7446D">
          <w:rPr>
            <w:noProof/>
          </w:rPr>
          <w:t>6</w:t>
        </w:r>
        <w:r>
          <w:rPr>
            <w:noProof/>
          </w:rPr>
          <w:fldChar w:fldCharType="end"/>
        </w:r>
      </w:p>
    </w:sdtContent>
  </w:sdt>
  <w:p w:rsidR="00CE73DD" w:rsidRDefault="00CE73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3DD" w:rsidRDefault="00CE73DD" w:rsidP="00912B03">
      <w:r>
        <w:separator/>
      </w:r>
    </w:p>
  </w:footnote>
  <w:footnote w:type="continuationSeparator" w:id="0">
    <w:p w:rsidR="00CE73DD" w:rsidRDefault="00CE73DD" w:rsidP="00912B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21A8"/>
    <w:multiLevelType w:val="multilevel"/>
    <w:tmpl w:val="C3ECA91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2BB7B48"/>
    <w:multiLevelType w:val="hybridMultilevel"/>
    <w:tmpl w:val="72A6D014"/>
    <w:lvl w:ilvl="0" w:tplc="08090005">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
    <w:nsid w:val="04EF7FB9"/>
    <w:multiLevelType w:val="multilevel"/>
    <w:tmpl w:val="59740D44"/>
    <w:lvl w:ilvl="0">
      <w:start w:val="3"/>
      <w:numFmt w:val="decimal"/>
      <w:lvlText w:val="%1"/>
      <w:lvlJc w:val="left"/>
      <w:pPr>
        <w:ind w:left="360" w:hanging="360"/>
      </w:pPr>
      <w:rPr>
        <w:rFonts w:hint="default"/>
      </w:rPr>
    </w:lvl>
    <w:lvl w:ilvl="1">
      <w:start w:val="3"/>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nsid w:val="11F801CC"/>
    <w:multiLevelType w:val="hybridMultilevel"/>
    <w:tmpl w:val="1CECDEEA"/>
    <w:lvl w:ilvl="0" w:tplc="249CEA10">
      <w:start w:val="1"/>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2487DD0"/>
    <w:multiLevelType w:val="multilevel"/>
    <w:tmpl w:val="AFC0CC9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74E3A9A"/>
    <w:multiLevelType w:val="multilevel"/>
    <w:tmpl w:val="B162B0F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92D78AB"/>
    <w:multiLevelType w:val="hybridMultilevel"/>
    <w:tmpl w:val="B97094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B4D1D54"/>
    <w:multiLevelType w:val="hybridMultilevel"/>
    <w:tmpl w:val="88500EC4"/>
    <w:lvl w:ilvl="0" w:tplc="9EF2123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9860A0"/>
    <w:multiLevelType w:val="hybridMultilevel"/>
    <w:tmpl w:val="6DFA8938"/>
    <w:lvl w:ilvl="0" w:tplc="08090005">
      <w:start w:val="1"/>
      <w:numFmt w:val="bullet"/>
      <w:lvlText w:val=""/>
      <w:lvlJc w:val="left"/>
      <w:pPr>
        <w:ind w:left="394" w:hanging="360"/>
      </w:pPr>
      <w:rPr>
        <w:rFonts w:ascii="Wingdings" w:hAnsi="Wingding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9">
    <w:nsid w:val="20366E8F"/>
    <w:multiLevelType w:val="hybridMultilevel"/>
    <w:tmpl w:val="08CE0CDC"/>
    <w:lvl w:ilvl="0" w:tplc="1734814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3360B3C"/>
    <w:multiLevelType w:val="hybridMultilevel"/>
    <w:tmpl w:val="40265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4811F4F"/>
    <w:multiLevelType w:val="hybridMultilevel"/>
    <w:tmpl w:val="8E8AD38A"/>
    <w:lvl w:ilvl="0" w:tplc="9FF05FF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4EF314B"/>
    <w:multiLevelType w:val="hybridMultilevel"/>
    <w:tmpl w:val="FFFC037C"/>
    <w:lvl w:ilvl="0" w:tplc="B882DB0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6DF7EE9"/>
    <w:multiLevelType w:val="hybridMultilevel"/>
    <w:tmpl w:val="65888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FD3602F"/>
    <w:multiLevelType w:val="hybridMultilevel"/>
    <w:tmpl w:val="2B3051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nsid w:val="30BD065A"/>
    <w:multiLevelType w:val="hybridMultilevel"/>
    <w:tmpl w:val="A00698E8"/>
    <w:lvl w:ilvl="0" w:tplc="930CA0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24F2F09"/>
    <w:multiLevelType w:val="hybridMultilevel"/>
    <w:tmpl w:val="76FC2EBC"/>
    <w:lvl w:ilvl="0" w:tplc="9EF2123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4445315"/>
    <w:multiLevelType w:val="hybridMultilevel"/>
    <w:tmpl w:val="664CF7E8"/>
    <w:lvl w:ilvl="0" w:tplc="08090013">
      <w:start w:val="1"/>
      <w:numFmt w:val="upperRoman"/>
      <w:lvlText w:val="%1."/>
      <w:lvlJc w:val="right"/>
      <w:pPr>
        <w:ind w:left="1080" w:hanging="72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62F55A4"/>
    <w:multiLevelType w:val="hybridMultilevel"/>
    <w:tmpl w:val="3FC2602E"/>
    <w:lvl w:ilvl="0" w:tplc="0E8C8D9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8140E8D"/>
    <w:multiLevelType w:val="hybridMultilevel"/>
    <w:tmpl w:val="1A907EBE"/>
    <w:lvl w:ilvl="0" w:tplc="435A384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DB338B0"/>
    <w:multiLevelType w:val="multilevel"/>
    <w:tmpl w:val="97E0E94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440" w:hanging="720"/>
      </w:pPr>
      <w:rPr>
        <w:rFonts w:hint="default"/>
        <w:u w:val="none"/>
      </w:rPr>
    </w:lvl>
    <w:lvl w:ilvl="3">
      <w:start w:val="1"/>
      <w:numFmt w:val="decimal"/>
      <w:isLgl/>
      <w:lvlText w:val="%1.%2.%3.%4"/>
      <w:lvlJc w:val="left"/>
      <w:pPr>
        <w:ind w:left="2160" w:hanging="1080"/>
      </w:pPr>
      <w:rPr>
        <w:rFonts w:hint="default"/>
        <w:u w:val="none"/>
      </w:rPr>
    </w:lvl>
    <w:lvl w:ilvl="4">
      <w:start w:val="1"/>
      <w:numFmt w:val="decimal"/>
      <w:isLgl/>
      <w:lvlText w:val="%1.%2.%3.%4.%5"/>
      <w:lvlJc w:val="left"/>
      <w:pPr>
        <w:ind w:left="2520" w:hanging="1080"/>
      </w:pPr>
      <w:rPr>
        <w:rFonts w:hint="default"/>
        <w:u w:val="none"/>
      </w:rPr>
    </w:lvl>
    <w:lvl w:ilvl="5">
      <w:start w:val="1"/>
      <w:numFmt w:val="decimal"/>
      <w:isLgl/>
      <w:lvlText w:val="%1.%2.%3.%4.%5.%6"/>
      <w:lvlJc w:val="left"/>
      <w:pPr>
        <w:ind w:left="3240" w:hanging="1440"/>
      </w:pPr>
      <w:rPr>
        <w:rFonts w:hint="default"/>
        <w:u w:val="none"/>
      </w:rPr>
    </w:lvl>
    <w:lvl w:ilvl="6">
      <w:start w:val="1"/>
      <w:numFmt w:val="decimal"/>
      <w:isLgl/>
      <w:lvlText w:val="%1.%2.%3.%4.%5.%6.%7"/>
      <w:lvlJc w:val="left"/>
      <w:pPr>
        <w:ind w:left="3600" w:hanging="1440"/>
      </w:pPr>
      <w:rPr>
        <w:rFonts w:hint="default"/>
        <w:u w:val="none"/>
      </w:rPr>
    </w:lvl>
    <w:lvl w:ilvl="7">
      <w:start w:val="1"/>
      <w:numFmt w:val="decimal"/>
      <w:isLgl/>
      <w:lvlText w:val="%1.%2.%3.%4.%5.%6.%7.%8"/>
      <w:lvlJc w:val="left"/>
      <w:pPr>
        <w:ind w:left="4320" w:hanging="1800"/>
      </w:pPr>
      <w:rPr>
        <w:rFonts w:hint="default"/>
        <w:u w:val="none"/>
      </w:rPr>
    </w:lvl>
    <w:lvl w:ilvl="8">
      <w:start w:val="1"/>
      <w:numFmt w:val="decimal"/>
      <w:isLgl/>
      <w:lvlText w:val="%1.%2.%3.%4.%5.%6.%7.%8.%9"/>
      <w:lvlJc w:val="left"/>
      <w:pPr>
        <w:ind w:left="4680" w:hanging="1800"/>
      </w:pPr>
      <w:rPr>
        <w:rFonts w:hint="default"/>
        <w:u w:val="none"/>
      </w:rPr>
    </w:lvl>
  </w:abstractNum>
  <w:abstractNum w:abstractNumId="21">
    <w:nsid w:val="3DDB4AD2"/>
    <w:multiLevelType w:val="hybridMultilevel"/>
    <w:tmpl w:val="CA56E4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05A7426"/>
    <w:multiLevelType w:val="hybridMultilevel"/>
    <w:tmpl w:val="5A4A3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5DC4B8C"/>
    <w:multiLevelType w:val="hybridMultilevel"/>
    <w:tmpl w:val="C7127698"/>
    <w:lvl w:ilvl="0" w:tplc="EA8469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A986ADD"/>
    <w:multiLevelType w:val="hybridMultilevel"/>
    <w:tmpl w:val="693699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B5957B2"/>
    <w:multiLevelType w:val="hybridMultilevel"/>
    <w:tmpl w:val="5B0EB8EC"/>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CC15D0C"/>
    <w:multiLevelType w:val="hybridMultilevel"/>
    <w:tmpl w:val="23EC6D10"/>
    <w:lvl w:ilvl="0" w:tplc="FF4256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EF302CE"/>
    <w:multiLevelType w:val="hybridMultilevel"/>
    <w:tmpl w:val="E45AF8F4"/>
    <w:lvl w:ilvl="0" w:tplc="457862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0B27F84"/>
    <w:multiLevelType w:val="hybridMultilevel"/>
    <w:tmpl w:val="BBDA4F52"/>
    <w:lvl w:ilvl="0" w:tplc="EEDE4FE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29849B2"/>
    <w:multiLevelType w:val="multilevel"/>
    <w:tmpl w:val="11BA669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nsid w:val="5B424292"/>
    <w:multiLevelType w:val="hybridMultilevel"/>
    <w:tmpl w:val="5656997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5955FF0"/>
    <w:multiLevelType w:val="multilevel"/>
    <w:tmpl w:val="6F406CB2"/>
    <w:lvl w:ilvl="0">
      <w:start w:val="3"/>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66FA5D55"/>
    <w:multiLevelType w:val="hybridMultilevel"/>
    <w:tmpl w:val="903E338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7E805C8"/>
    <w:multiLevelType w:val="hybridMultilevel"/>
    <w:tmpl w:val="16201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A370447"/>
    <w:multiLevelType w:val="hybridMultilevel"/>
    <w:tmpl w:val="2CD653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BBD118E"/>
    <w:multiLevelType w:val="hybridMultilevel"/>
    <w:tmpl w:val="CD0AB680"/>
    <w:lvl w:ilvl="0" w:tplc="79285BA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CB243C8"/>
    <w:multiLevelType w:val="multilevel"/>
    <w:tmpl w:val="1412720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6D830CEE"/>
    <w:multiLevelType w:val="hybridMultilevel"/>
    <w:tmpl w:val="581CB89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nsid w:val="6FAC5701"/>
    <w:multiLevelType w:val="multilevel"/>
    <w:tmpl w:val="1C78928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71940074"/>
    <w:multiLevelType w:val="multilevel"/>
    <w:tmpl w:val="0492C0C0"/>
    <w:lvl w:ilvl="0">
      <w:start w:val="3"/>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72FA2D44"/>
    <w:multiLevelType w:val="hybridMultilevel"/>
    <w:tmpl w:val="0D106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4E55106"/>
    <w:multiLevelType w:val="hybridMultilevel"/>
    <w:tmpl w:val="F7C2676E"/>
    <w:lvl w:ilvl="0" w:tplc="4164EAC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5980CA7"/>
    <w:multiLevelType w:val="hybridMultilevel"/>
    <w:tmpl w:val="534C08B4"/>
    <w:lvl w:ilvl="0" w:tplc="FD0A1CCE">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3">
    <w:nsid w:val="7D364AA4"/>
    <w:multiLevelType w:val="hybridMultilevel"/>
    <w:tmpl w:val="993AC4B2"/>
    <w:lvl w:ilvl="0" w:tplc="FF2AA21E">
      <w:start w:val="2"/>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D771BD7"/>
    <w:multiLevelType w:val="hybridMultilevel"/>
    <w:tmpl w:val="A4FA9398"/>
    <w:lvl w:ilvl="0" w:tplc="9852FA0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7EFC653B"/>
    <w:multiLevelType w:val="hybridMultilevel"/>
    <w:tmpl w:val="B07E61B0"/>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0"/>
  </w:num>
  <w:num w:numId="2">
    <w:abstractNumId w:val="32"/>
  </w:num>
  <w:num w:numId="3">
    <w:abstractNumId w:val="8"/>
  </w:num>
  <w:num w:numId="4">
    <w:abstractNumId w:val="1"/>
  </w:num>
  <w:num w:numId="5">
    <w:abstractNumId w:val="37"/>
  </w:num>
  <w:num w:numId="6">
    <w:abstractNumId w:val="45"/>
  </w:num>
  <w:num w:numId="7">
    <w:abstractNumId w:val="30"/>
  </w:num>
  <w:num w:numId="8">
    <w:abstractNumId w:val="29"/>
  </w:num>
  <w:num w:numId="9">
    <w:abstractNumId w:val="31"/>
  </w:num>
  <w:num w:numId="10">
    <w:abstractNumId w:val="2"/>
  </w:num>
  <w:num w:numId="11">
    <w:abstractNumId w:val="36"/>
  </w:num>
  <w:num w:numId="12">
    <w:abstractNumId w:val="39"/>
  </w:num>
  <w:num w:numId="13">
    <w:abstractNumId w:val="11"/>
  </w:num>
  <w:num w:numId="14">
    <w:abstractNumId w:val="26"/>
  </w:num>
  <w:num w:numId="15">
    <w:abstractNumId w:val="22"/>
  </w:num>
  <w:num w:numId="16">
    <w:abstractNumId w:val="42"/>
  </w:num>
  <w:num w:numId="17">
    <w:abstractNumId w:val="24"/>
  </w:num>
  <w:num w:numId="18">
    <w:abstractNumId w:val="16"/>
  </w:num>
  <w:num w:numId="19">
    <w:abstractNumId w:val="13"/>
  </w:num>
  <w:num w:numId="20">
    <w:abstractNumId w:val="21"/>
  </w:num>
  <w:num w:numId="21">
    <w:abstractNumId w:val="7"/>
  </w:num>
  <w:num w:numId="22">
    <w:abstractNumId w:val="43"/>
  </w:num>
  <w:num w:numId="23">
    <w:abstractNumId w:val="10"/>
  </w:num>
  <w:num w:numId="24">
    <w:abstractNumId w:val="28"/>
  </w:num>
  <w:num w:numId="25">
    <w:abstractNumId w:val="27"/>
  </w:num>
  <w:num w:numId="26">
    <w:abstractNumId w:val="40"/>
  </w:num>
  <w:num w:numId="27">
    <w:abstractNumId w:val="38"/>
  </w:num>
  <w:num w:numId="28">
    <w:abstractNumId w:val="4"/>
  </w:num>
  <w:num w:numId="29">
    <w:abstractNumId w:val="5"/>
  </w:num>
  <w:num w:numId="30">
    <w:abstractNumId w:val="0"/>
  </w:num>
  <w:num w:numId="31">
    <w:abstractNumId w:val="33"/>
  </w:num>
  <w:num w:numId="32">
    <w:abstractNumId w:val="18"/>
  </w:num>
  <w:num w:numId="33">
    <w:abstractNumId w:val="25"/>
  </w:num>
  <w:num w:numId="34">
    <w:abstractNumId w:val="19"/>
  </w:num>
  <w:num w:numId="35">
    <w:abstractNumId w:val="14"/>
  </w:num>
  <w:num w:numId="36">
    <w:abstractNumId w:val="9"/>
  </w:num>
  <w:num w:numId="37">
    <w:abstractNumId w:val="34"/>
  </w:num>
  <w:num w:numId="38">
    <w:abstractNumId w:val="6"/>
  </w:num>
  <w:num w:numId="39">
    <w:abstractNumId w:val="23"/>
  </w:num>
  <w:num w:numId="40">
    <w:abstractNumId w:val="44"/>
  </w:num>
  <w:num w:numId="41">
    <w:abstractNumId w:val="15"/>
  </w:num>
  <w:num w:numId="42">
    <w:abstractNumId w:val="17"/>
  </w:num>
  <w:num w:numId="43">
    <w:abstractNumId w:val="3"/>
  </w:num>
  <w:num w:numId="44">
    <w:abstractNumId w:val="12"/>
  </w:num>
  <w:num w:numId="45">
    <w:abstractNumId w:val="35"/>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E40"/>
    <w:rsid w:val="000001ED"/>
    <w:rsid w:val="00036287"/>
    <w:rsid w:val="000363BA"/>
    <w:rsid w:val="0006045A"/>
    <w:rsid w:val="00067EF0"/>
    <w:rsid w:val="000707D1"/>
    <w:rsid w:val="00072F2F"/>
    <w:rsid w:val="00076288"/>
    <w:rsid w:val="00076BC4"/>
    <w:rsid w:val="00086B40"/>
    <w:rsid w:val="0009580B"/>
    <w:rsid w:val="00097E04"/>
    <w:rsid w:val="000A028E"/>
    <w:rsid w:val="000A106C"/>
    <w:rsid w:val="000A16A7"/>
    <w:rsid w:val="000A57E6"/>
    <w:rsid w:val="000D3D5B"/>
    <w:rsid w:val="000E6C36"/>
    <w:rsid w:val="000E70CD"/>
    <w:rsid w:val="000F2DC6"/>
    <w:rsid w:val="000F4981"/>
    <w:rsid w:val="001017EB"/>
    <w:rsid w:val="001064F4"/>
    <w:rsid w:val="00125B2A"/>
    <w:rsid w:val="001332FF"/>
    <w:rsid w:val="00142F51"/>
    <w:rsid w:val="001514DE"/>
    <w:rsid w:val="00152055"/>
    <w:rsid w:val="0016026B"/>
    <w:rsid w:val="00163DF7"/>
    <w:rsid w:val="00193158"/>
    <w:rsid w:val="001953FC"/>
    <w:rsid w:val="00196326"/>
    <w:rsid w:val="001A2C83"/>
    <w:rsid w:val="001C542F"/>
    <w:rsid w:val="001E2490"/>
    <w:rsid w:val="001E24C8"/>
    <w:rsid w:val="001F269C"/>
    <w:rsid w:val="001F5454"/>
    <w:rsid w:val="00200150"/>
    <w:rsid w:val="0020487D"/>
    <w:rsid w:val="0020702D"/>
    <w:rsid w:val="0021043F"/>
    <w:rsid w:val="00210926"/>
    <w:rsid w:val="00210946"/>
    <w:rsid w:val="00220A8D"/>
    <w:rsid w:val="002316BC"/>
    <w:rsid w:val="00232729"/>
    <w:rsid w:val="002403DA"/>
    <w:rsid w:val="00245590"/>
    <w:rsid w:val="00251D68"/>
    <w:rsid w:val="00256A06"/>
    <w:rsid w:val="00261E9C"/>
    <w:rsid w:val="00271B67"/>
    <w:rsid w:val="00272AFF"/>
    <w:rsid w:val="00274EBD"/>
    <w:rsid w:val="002769ED"/>
    <w:rsid w:val="002800E1"/>
    <w:rsid w:val="00281813"/>
    <w:rsid w:val="002865D0"/>
    <w:rsid w:val="00290A83"/>
    <w:rsid w:val="002924F7"/>
    <w:rsid w:val="002B4E40"/>
    <w:rsid w:val="002B6DBA"/>
    <w:rsid w:val="002B7CEB"/>
    <w:rsid w:val="002C19C9"/>
    <w:rsid w:val="002C2F9A"/>
    <w:rsid w:val="002C3001"/>
    <w:rsid w:val="002C63F4"/>
    <w:rsid w:val="002C7FE9"/>
    <w:rsid w:val="002E0759"/>
    <w:rsid w:val="002E48B5"/>
    <w:rsid w:val="002E56E0"/>
    <w:rsid w:val="002F38A4"/>
    <w:rsid w:val="002F703F"/>
    <w:rsid w:val="00303FEE"/>
    <w:rsid w:val="00305179"/>
    <w:rsid w:val="00310D1C"/>
    <w:rsid w:val="00311931"/>
    <w:rsid w:val="0031193E"/>
    <w:rsid w:val="00312129"/>
    <w:rsid w:val="00312316"/>
    <w:rsid w:val="0031681D"/>
    <w:rsid w:val="00325E63"/>
    <w:rsid w:val="00331809"/>
    <w:rsid w:val="003324FE"/>
    <w:rsid w:val="0034117C"/>
    <w:rsid w:val="003473AC"/>
    <w:rsid w:val="00347A9D"/>
    <w:rsid w:val="0035052D"/>
    <w:rsid w:val="00351A4D"/>
    <w:rsid w:val="0036000E"/>
    <w:rsid w:val="00363BE2"/>
    <w:rsid w:val="003662B5"/>
    <w:rsid w:val="0036777E"/>
    <w:rsid w:val="00371A20"/>
    <w:rsid w:val="00375BEF"/>
    <w:rsid w:val="0039367C"/>
    <w:rsid w:val="003A0E0D"/>
    <w:rsid w:val="003A4971"/>
    <w:rsid w:val="003A5641"/>
    <w:rsid w:val="003B1AAC"/>
    <w:rsid w:val="003C26B9"/>
    <w:rsid w:val="003C297C"/>
    <w:rsid w:val="003D6F23"/>
    <w:rsid w:val="003E2BD1"/>
    <w:rsid w:val="003E3377"/>
    <w:rsid w:val="003E5E74"/>
    <w:rsid w:val="00404101"/>
    <w:rsid w:val="00412771"/>
    <w:rsid w:val="0042042B"/>
    <w:rsid w:val="004278CF"/>
    <w:rsid w:val="00427B68"/>
    <w:rsid w:val="00427BAF"/>
    <w:rsid w:val="004413F4"/>
    <w:rsid w:val="00441574"/>
    <w:rsid w:val="00443126"/>
    <w:rsid w:val="00444BC8"/>
    <w:rsid w:val="00445C46"/>
    <w:rsid w:val="004522AF"/>
    <w:rsid w:val="00453622"/>
    <w:rsid w:val="00453B3C"/>
    <w:rsid w:val="0046031B"/>
    <w:rsid w:val="00470E08"/>
    <w:rsid w:val="004712F8"/>
    <w:rsid w:val="00482502"/>
    <w:rsid w:val="00496D00"/>
    <w:rsid w:val="004A581C"/>
    <w:rsid w:val="004A645E"/>
    <w:rsid w:val="004B4AD9"/>
    <w:rsid w:val="004C14EA"/>
    <w:rsid w:val="00500A69"/>
    <w:rsid w:val="00503E44"/>
    <w:rsid w:val="00503EF9"/>
    <w:rsid w:val="00507677"/>
    <w:rsid w:val="005213E0"/>
    <w:rsid w:val="0053650D"/>
    <w:rsid w:val="0054333C"/>
    <w:rsid w:val="0054384E"/>
    <w:rsid w:val="00551305"/>
    <w:rsid w:val="00562008"/>
    <w:rsid w:val="00565918"/>
    <w:rsid w:val="00571A63"/>
    <w:rsid w:val="005725F7"/>
    <w:rsid w:val="005763C0"/>
    <w:rsid w:val="0059017A"/>
    <w:rsid w:val="00596002"/>
    <w:rsid w:val="0059742C"/>
    <w:rsid w:val="005A3F65"/>
    <w:rsid w:val="005B7330"/>
    <w:rsid w:val="005C016E"/>
    <w:rsid w:val="005C15AE"/>
    <w:rsid w:val="005C2B97"/>
    <w:rsid w:val="005C4CF4"/>
    <w:rsid w:val="005C581A"/>
    <w:rsid w:val="005E0615"/>
    <w:rsid w:val="005E0DD0"/>
    <w:rsid w:val="005E14A1"/>
    <w:rsid w:val="005E3F92"/>
    <w:rsid w:val="005E46EA"/>
    <w:rsid w:val="005F4DFA"/>
    <w:rsid w:val="00624F8E"/>
    <w:rsid w:val="00646615"/>
    <w:rsid w:val="0065640F"/>
    <w:rsid w:val="00660F24"/>
    <w:rsid w:val="0066318C"/>
    <w:rsid w:val="00663AF1"/>
    <w:rsid w:val="00665200"/>
    <w:rsid w:val="006816F8"/>
    <w:rsid w:val="00683019"/>
    <w:rsid w:val="006845AD"/>
    <w:rsid w:val="006845BD"/>
    <w:rsid w:val="006865E7"/>
    <w:rsid w:val="00694AE5"/>
    <w:rsid w:val="00695953"/>
    <w:rsid w:val="006C27ED"/>
    <w:rsid w:val="006D16C5"/>
    <w:rsid w:val="006D1BE8"/>
    <w:rsid w:val="006D7118"/>
    <w:rsid w:val="006F5E8F"/>
    <w:rsid w:val="00717811"/>
    <w:rsid w:val="0071793C"/>
    <w:rsid w:val="0072032C"/>
    <w:rsid w:val="00720E55"/>
    <w:rsid w:val="00724D90"/>
    <w:rsid w:val="00727234"/>
    <w:rsid w:val="0073636B"/>
    <w:rsid w:val="007475BA"/>
    <w:rsid w:val="0075256F"/>
    <w:rsid w:val="0076030B"/>
    <w:rsid w:val="007664B5"/>
    <w:rsid w:val="00770D78"/>
    <w:rsid w:val="00785DAF"/>
    <w:rsid w:val="007A3BEC"/>
    <w:rsid w:val="007B2102"/>
    <w:rsid w:val="007C44C9"/>
    <w:rsid w:val="007E371C"/>
    <w:rsid w:val="007E7367"/>
    <w:rsid w:val="007F3700"/>
    <w:rsid w:val="007F634B"/>
    <w:rsid w:val="008058A6"/>
    <w:rsid w:val="008119DD"/>
    <w:rsid w:val="008165A3"/>
    <w:rsid w:val="008217BB"/>
    <w:rsid w:val="00826324"/>
    <w:rsid w:val="00836489"/>
    <w:rsid w:val="008557C7"/>
    <w:rsid w:val="008619E4"/>
    <w:rsid w:val="00864AC9"/>
    <w:rsid w:val="00870DD9"/>
    <w:rsid w:val="00880A05"/>
    <w:rsid w:val="00884647"/>
    <w:rsid w:val="0089257D"/>
    <w:rsid w:val="008A49AA"/>
    <w:rsid w:val="008B222C"/>
    <w:rsid w:val="008D0D84"/>
    <w:rsid w:val="008D5E38"/>
    <w:rsid w:val="008D5F97"/>
    <w:rsid w:val="008E7369"/>
    <w:rsid w:val="008E7837"/>
    <w:rsid w:val="008F142A"/>
    <w:rsid w:val="008F37E9"/>
    <w:rsid w:val="008F64F0"/>
    <w:rsid w:val="008F7BF3"/>
    <w:rsid w:val="00900077"/>
    <w:rsid w:val="00902621"/>
    <w:rsid w:val="00903695"/>
    <w:rsid w:val="00910037"/>
    <w:rsid w:val="00911334"/>
    <w:rsid w:val="00912B03"/>
    <w:rsid w:val="00954587"/>
    <w:rsid w:val="009662CF"/>
    <w:rsid w:val="009664CD"/>
    <w:rsid w:val="00971F88"/>
    <w:rsid w:val="00984080"/>
    <w:rsid w:val="00991267"/>
    <w:rsid w:val="00997DCA"/>
    <w:rsid w:val="009A3038"/>
    <w:rsid w:val="009A6178"/>
    <w:rsid w:val="009C5055"/>
    <w:rsid w:val="009C751B"/>
    <w:rsid w:val="009D1559"/>
    <w:rsid w:val="009D20F9"/>
    <w:rsid w:val="009D4891"/>
    <w:rsid w:val="009E7D38"/>
    <w:rsid w:val="00A0266A"/>
    <w:rsid w:val="00A055CD"/>
    <w:rsid w:val="00A11183"/>
    <w:rsid w:val="00A160E2"/>
    <w:rsid w:val="00A1688C"/>
    <w:rsid w:val="00A27527"/>
    <w:rsid w:val="00A34F10"/>
    <w:rsid w:val="00A511DD"/>
    <w:rsid w:val="00A54D65"/>
    <w:rsid w:val="00A62E95"/>
    <w:rsid w:val="00A6701B"/>
    <w:rsid w:val="00A7446D"/>
    <w:rsid w:val="00A75E59"/>
    <w:rsid w:val="00A776A5"/>
    <w:rsid w:val="00A832E9"/>
    <w:rsid w:val="00A852C6"/>
    <w:rsid w:val="00A94961"/>
    <w:rsid w:val="00AA677B"/>
    <w:rsid w:val="00AB2D90"/>
    <w:rsid w:val="00AB3335"/>
    <w:rsid w:val="00AF54A4"/>
    <w:rsid w:val="00B01275"/>
    <w:rsid w:val="00B022AA"/>
    <w:rsid w:val="00B04D7D"/>
    <w:rsid w:val="00B301B2"/>
    <w:rsid w:val="00B341BF"/>
    <w:rsid w:val="00B35856"/>
    <w:rsid w:val="00B46157"/>
    <w:rsid w:val="00B507C0"/>
    <w:rsid w:val="00B6501F"/>
    <w:rsid w:val="00B71B0A"/>
    <w:rsid w:val="00B81E12"/>
    <w:rsid w:val="00B84402"/>
    <w:rsid w:val="00B859F8"/>
    <w:rsid w:val="00B87F4F"/>
    <w:rsid w:val="00B948CE"/>
    <w:rsid w:val="00BA22B7"/>
    <w:rsid w:val="00BA7E89"/>
    <w:rsid w:val="00BB64B0"/>
    <w:rsid w:val="00BD7A16"/>
    <w:rsid w:val="00BE0D6E"/>
    <w:rsid w:val="00BE237B"/>
    <w:rsid w:val="00C035B0"/>
    <w:rsid w:val="00C1250D"/>
    <w:rsid w:val="00C14739"/>
    <w:rsid w:val="00C148EB"/>
    <w:rsid w:val="00C151E3"/>
    <w:rsid w:val="00C224AA"/>
    <w:rsid w:val="00C31D91"/>
    <w:rsid w:val="00C34429"/>
    <w:rsid w:val="00C3650E"/>
    <w:rsid w:val="00C40BB2"/>
    <w:rsid w:val="00C56029"/>
    <w:rsid w:val="00C60D6F"/>
    <w:rsid w:val="00C624AF"/>
    <w:rsid w:val="00C67571"/>
    <w:rsid w:val="00C77670"/>
    <w:rsid w:val="00C85C86"/>
    <w:rsid w:val="00C85E30"/>
    <w:rsid w:val="00C94C39"/>
    <w:rsid w:val="00C97EC5"/>
    <w:rsid w:val="00CA7BFE"/>
    <w:rsid w:val="00CB0C1D"/>
    <w:rsid w:val="00CB430C"/>
    <w:rsid w:val="00CB52FA"/>
    <w:rsid w:val="00CC5899"/>
    <w:rsid w:val="00CD198B"/>
    <w:rsid w:val="00CD5406"/>
    <w:rsid w:val="00CE4C14"/>
    <w:rsid w:val="00CE73DD"/>
    <w:rsid w:val="00CF160D"/>
    <w:rsid w:val="00CF60BA"/>
    <w:rsid w:val="00CF7A79"/>
    <w:rsid w:val="00D13677"/>
    <w:rsid w:val="00D161EE"/>
    <w:rsid w:val="00D3113D"/>
    <w:rsid w:val="00D54AF8"/>
    <w:rsid w:val="00D56E0C"/>
    <w:rsid w:val="00D60909"/>
    <w:rsid w:val="00D67260"/>
    <w:rsid w:val="00D768FE"/>
    <w:rsid w:val="00D800B7"/>
    <w:rsid w:val="00D85488"/>
    <w:rsid w:val="00D957CE"/>
    <w:rsid w:val="00DA1298"/>
    <w:rsid w:val="00DA6E23"/>
    <w:rsid w:val="00DA761A"/>
    <w:rsid w:val="00DC0FCF"/>
    <w:rsid w:val="00DD1A04"/>
    <w:rsid w:val="00DD7A4C"/>
    <w:rsid w:val="00DE7039"/>
    <w:rsid w:val="00E05BD9"/>
    <w:rsid w:val="00E147D2"/>
    <w:rsid w:val="00E22308"/>
    <w:rsid w:val="00E253C3"/>
    <w:rsid w:val="00E267EE"/>
    <w:rsid w:val="00E32299"/>
    <w:rsid w:val="00E47D6D"/>
    <w:rsid w:val="00E62776"/>
    <w:rsid w:val="00E67B9C"/>
    <w:rsid w:val="00E7331D"/>
    <w:rsid w:val="00E9440E"/>
    <w:rsid w:val="00E954D0"/>
    <w:rsid w:val="00EC125A"/>
    <w:rsid w:val="00EC2143"/>
    <w:rsid w:val="00EC3F61"/>
    <w:rsid w:val="00ED14C4"/>
    <w:rsid w:val="00EE118B"/>
    <w:rsid w:val="00EF37D7"/>
    <w:rsid w:val="00F0237B"/>
    <w:rsid w:val="00F06CEC"/>
    <w:rsid w:val="00F3741F"/>
    <w:rsid w:val="00F43E43"/>
    <w:rsid w:val="00F51377"/>
    <w:rsid w:val="00F541E5"/>
    <w:rsid w:val="00F67978"/>
    <w:rsid w:val="00F80176"/>
    <w:rsid w:val="00FA1816"/>
    <w:rsid w:val="00FA5CC5"/>
    <w:rsid w:val="00FB18DC"/>
    <w:rsid w:val="00FC080C"/>
    <w:rsid w:val="00FE1E50"/>
    <w:rsid w:val="00FE2A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48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E40"/>
    <w:pPr>
      <w:ind w:left="720"/>
      <w:contextualSpacing/>
    </w:pPr>
  </w:style>
  <w:style w:type="table" w:styleId="TableGrid">
    <w:name w:val="Table Grid"/>
    <w:basedOn w:val="TableNormal"/>
    <w:uiPriority w:val="59"/>
    <w:rsid w:val="00E05BD9"/>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2B03"/>
    <w:pPr>
      <w:tabs>
        <w:tab w:val="center" w:pos="4513"/>
        <w:tab w:val="right" w:pos="9026"/>
      </w:tabs>
    </w:pPr>
  </w:style>
  <w:style w:type="character" w:customStyle="1" w:styleId="HeaderChar">
    <w:name w:val="Header Char"/>
    <w:basedOn w:val="DefaultParagraphFont"/>
    <w:link w:val="Header"/>
    <w:uiPriority w:val="99"/>
    <w:rsid w:val="00912B03"/>
  </w:style>
  <w:style w:type="paragraph" w:styleId="Footer">
    <w:name w:val="footer"/>
    <w:basedOn w:val="Normal"/>
    <w:link w:val="FooterChar"/>
    <w:uiPriority w:val="99"/>
    <w:unhideWhenUsed/>
    <w:rsid w:val="00912B03"/>
    <w:pPr>
      <w:tabs>
        <w:tab w:val="center" w:pos="4513"/>
        <w:tab w:val="right" w:pos="9026"/>
      </w:tabs>
    </w:pPr>
  </w:style>
  <w:style w:type="character" w:customStyle="1" w:styleId="FooterChar">
    <w:name w:val="Footer Char"/>
    <w:basedOn w:val="DefaultParagraphFont"/>
    <w:link w:val="Footer"/>
    <w:uiPriority w:val="99"/>
    <w:rsid w:val="00912B03"/>
  </w:style>
  <w:style w:type="paragraph" w:styleId="BalloonText">
    <w:name w:val="Balloon Text"/>
    <w:basedOn w:val="Normal"/>
    <w:link w:val="BalloonTextChar"/>
    <w:uiPriority w:val="99"/>
    <w:semiHidden/>
    <w:unhideWhenUsed/>
    <w:rsid w:val="006D16C5"/>
    <w:rPr>
      <w:rFonts w:ascii="Tahoma" w:hAnsi="Tahoma" w:cs="Tahoma"/>
      <w:sz w:val="16"/>
      <w:szCs w:val="16"/>
    </w:rPr>
  </w:style>
  <w:style w:type="character" w:customStyle="1" w:styleId="BalloonTextChar">
    <w:name w:val="Balloon Text Char"/>
    <w:basedOn w:val="DefaultParagraphFont"/>
    <w:link w:val="BalloonText"/>
    <w:uiPriority w:val="99"/>
    <w:semiHidden/>
    <w:rsid w:val="006D16C5"/>
    <w:rPr>
      <w:rFonts w:ascii="Tahoma" w:hAnsi="Tahoma" w:cs="Tahoma"/>
      <w:sz w:val="16"/>
      <w:szCs w:val="16"/>
    </w:rPr>
  </w:style>
  <w:style w:type="paragraph" w:customStyle="1" w:styleId="Default">
    <w:name w:val="Default"/>
    <w:rsid w:val="00C34429"/>
    <w:pPr>
      <w:autoSpaceDE w:val="0"/>
      <w:autoSpaceDN w:val="0"/>
      <w:adjustRightInd w:val="0"/>
      <w:spacing w:after="0" w:line="240" w:lineRule="auto"/>
    </w:pPr>
    <w:rPr>
      <w:rFonts w:cs="Arial"/>
      <w:color w:val="000000"/>
      <w:szCs w:val="24"/>
    </w:rPr>
  </w:style>
  <w:style w:type="character" w:styleId="Hyperlink">
    <w:name w:val="Hyperlink"/>
    <w:basedOn w:val="DefaultParagraphFont"/>
    <w:uiPriority w:val="99"/>
    <w:unhideWhenUsed/>
    <w:rsid w:val="00B04D7D"/>
    <w:rPr>
      <w:color w:val="0000FF" w:themeColor="hyperlink"/>
      <w:u w:val="single"/>
    </w:rPr>
  </w:style>
  <w:style w:type="character" w:styleId="FollowedHyperlink">
    <w:name w:val="FollowedHyperlink"/>
    <w:basedOn w:val="DefaultParagraphFont"/>
    <w:uiPriority w:val="99"/>
    <w:semiHidden/>
    <w:unhideWhenUsed/>
    <w:rsid w:val="004A581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48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E40"/>
    <w:pPr>
      <w:ind w:left="720"/>
      <w:contextualSpacing/>
    </w:pPr>
  </w:style>
  <w:style w:type="table" w:styleId="TableGrid">
    <w:name w:val="Table Grid"/>
    <w:basedOn w:val="TableNormal"/>
    <w:uiPriority w:val="59"/>
    <w:rsid w:val="00E05BD9"/>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2B03"/>
    <w:pPr>
      <w:tabs>
        <w:tab w:val="center" w:pos="4513"/>
        <w:tab w:val="right" w:pos="9026"/>
      </w:tabs>
    </w:pPr>
  </w:style>
  <w:style w:type="character" w:customStyle="1" w:styleId="HeaderChar">
    <w:name w:val="Header Char"/>
    <w:basedOn w:val="DefaultParagraphFont"/>
    <w:link w:val="Header"/>
    <w:uiPriority w:val="99"/>
    <w:rsid w:val="00912B03"/>
  </w:style>
  <w:style w:type="paragraph" w:styleId="Footer">
    <w:name w:val="footer"/>
    <w:basedOn w:val="Normal"/>
    <w:link w:val="FooterChar"/>
    <w:uiPriority w:val="99"/>
    <w:unhideWhenUsed/>
    <w:rsid w:val="00912B03"/>
    <w:pPr>
      <w:tabs>
        <w:tab w:val="center" w:pos="4513"/>
        <w:tab w:val="right" w:pos="9026"/>
      </w:tabs>
    </w:pPr>
  </w:style>
  <w:style w:type="character" w:customStyle="1" w:styleId="FooterChar">
    <w:name w:val="Footer Char"/>
    <w:basedOn w:val="DefaultParagraphFont"/>
    <w:link w:val="Footer"/>
    <w:uiPriority w:val="99"/>
    <w:rsid w:val="00912B03"/>
  </w:style>
  <w:style w:type="paragraph" w:styleId="BalloonText">
    <w:name w:val="Balloon Text"/>
    <w:basedOn w:val="Normal"/>
    <w:link w:val="BalloonTextChar"/>
    <w:uiPriority w:val="99"/>
    <w:semiHidden/>
    <w:unhideWhenUsed/>
    <w:rsid w:val="006D16C5"/>
    <w:rPr>
      <w:rFonts w:ascii="Tahoma" w:hAnsi="Tahoma" w:cs="Tahoma"/>
      <w:sz w:val="16"/>
      <w:szCs w:val="16"/>
    </w:rPr>
  </w:style>
  <w:style w:type="character" w:customStyle="1" w:styleId="BalloonTextChar">
    <w:name w:val="Balloon Text Char"/>
    <w:basedOn w:val="DefaultParagraphFont"/>
    <w:link w:val="BalloonText"/>
    <w:uiPriority w:val="99"/>
    <w:semiHidden/>
    <w:rsid w:val="006D16C5"/>
    <w:rPr>
      <w:rFonts w:ascii="Tahoma" w:hAnsi="Tahoma" w:cs="Tahoma"/>
      <w:sz w:val="16"/>
      <w:szCs w:val="16"/>
    </w:rPr>
  </w:style>
  <w:style w:type="paragraph" w:customStyle="1" w:styleId="Default">
    <w:name w:val="Default"/>
    <w:rsid w:val="00C34429"/>
    <w:pPr>
      <w:autoSpaceDE w:val="0"/>
      <w:autoSpaceDN w:val="0"/>
      <w:adjustRightInd w:val="0"/>
      <w:spacing w:after="0" w:line="240" w:lineRule="auto"/>
    </w:pPr>
    <w:rPr>
      <w:rFonts w:cs="Arial"/>
      <w:color w:val="000000"/>
      <w:szCs w:val="24"/>
    </w:rPr>
  </w:style>
  <w:style w:type="character" w:styleId="Hyperlink">
    <w:name w:val="Hyperlink"/>
    <w:basedOn w:val="DefaultParagraphFont"/>
    <w:uiPriority w:val="99"/>
    <w:unhideWhenUsed/>
    <w:rsid w:val="00B04D7D"/>
    <w:rPr>
      <w:color w:val="0000FF" w:themeColor="hyperlink"/>
      <w:u w:val="single"/>
    </w:rPr>
  </w:style>
  <w:style w:type="character" w:styleId="FollowedHyperlink">
    <w:name w:val="FollowedHyperlink"/>
    <w:basedOn w:val="DefaultParagraphFont"/>
    <w:uiPriority w:val="99"/>
    <w:semiHidden/>
    <w:unhideWhenUsed/>
    <w:rsid w:val="004A58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996958">
      <w:bodyDiv w:val="1"/>
      <w:marLeft w:val="0"/>
      <w:marRight w:val="0"/>
      <w:marTop w:val="0"/>
      <w:marBottom w:val="0"/>
      <w:divBdr>
        <w:top w:val="none" w:sz="0" w:space="0" w:color="auto"/>
        <w:left w:val="none" w:sz="0" w:space="0" w:color="auto"/>
        <w:bottom w:val="none" w:sz="0" w:space="0" w:color="auto"/>
        <w:right w:val="none" w:sz="0" w:space="0" w:color="auto"/>
      </w:divBdr>
    </w:div>
    <w:div w:id="1155681364">
      <w:bodyDiv w:val="1"/>
      <w:marLeft w:val="0"/>
      <w:marRight w:val="0"/>
      <w:marTop w:val="0"/>
      <w:marBottom w:val="0"/>
      <w:divBdr>
        <w:top w:val="none" w:sz="0" w:space="0" w:color="auto"/>
        <w:left w:val="none" w:sz="0" w:space="0" w:color="auto"/>
        <w:bottom w:val="none" w:sz="0" w:space="0" w:color="auto"/>
        <w:right w:val="none" w:sz="0" w:space="0" w:color="auto"/>
      </w:divBdr>
    </w:div>
    <w:div w:id="1290235915">
      <w:bodyDiv w:val="1"/>
      <w:marLeft w:val="0"/>
      <w:marRight w:val="0"/>
      <w:marTop w:val="0"/>
      <w:marBottom w:val="0"/>
      <w:divBdr>
        <w:top w:val="none" w:sz="0" w:space="0" w:color="auto"/>
        <w:left w:val="none" w:sz="0" w:space="0" w:color="auto"/>
        <w:bottom w:val="none" w:sz="0" w:space="0" w:color="auto"/>
        <w:right w:val="none" w:sz="0" w:space="0" w:color="auto"/>
      </w:divBdr>
    </w:div>
    <w:div w:id="1294948819">
      <w:bodyDiv w:val="1"/>
      <w:marLeft w:val="0"/>
      <w:marRight w:val="0"/>
      <w:marTop w:val="0"/>
      <w:marBottom w:val="0"/>
      <w:divBdr>
        <w:top w:val="none" w:sz="0" w:space="0" w:color="auto"/>
        <w:left w:val="none" w:sz="0" w:space="0" w:color="auto"/>
        <w:bottom w:val="none" w:sz="0" w:space="0" w:color="auto"/>
        <w:right w:val="none" w:sz="0" w:space="0" w:color="auto"/>
      </w:divBdr>
    </w:div>
    <w:div w:id="135044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s://consult.education.gov.uk/funding-policy-unit/high-needs-funding-reform-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0C4E8-0EA7-49C3-9960-6101476EF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1927</Words>
  <Characters>10988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12890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Finney</dc:creator>
  <cp:lastModifiedBy>Mr Mike Smith (Zengenti)</cp:lastModifiedBy>
  <cp:revision>2</cp:revision>
  <cp:lastPrinted>2016-12-28T16:36:00Z</cp:lastPrinted>
  <dcterms:created xsi:type="dcterms:W3CDTF">2017-01-03T16:02:00Z</dcterms:created>
  <dcterms:modified xsi:type="dcterms:W3CDTF">2017-08-01T15:31:07Z</dcterms:modified>
  <dc:title>High needs block - National funding formula consultation</dc:title>
  <cp:keywords>
  </cp:keywords>
  <dc:subject>
  </dc:subject>
</cp:coreProperties>
</file>