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517AD6" w:rsidR="00413F84" w:rsidP="00413F84" w:rsidRDefault="00413F84">
      <w:pPr>
        <w:spacing w:after="120"/>
        <w:jc w:val="center"/>
        <w:rPr>
          <w:rFonts w:ascii="Arial" w:hAnsi="Arial" w:cs="Arial"/>
          <w:b/>
          <w:sz w:val="24"/>
          <w:szCs w:val="24"/>
          <w:u w:val="single"/>
        </w:rPr>
      </w:pPr>
      <w:bookmarkStart w:name="_GoBack" w:id="0"/>
      <w:bookmarkEnd w:id="0"/>
      <w:r w:rsidRPr="00517AD6">
        <w:rPr>
          <w:rFonts w:ascii="Arial" w:hAnsi="Arial" w:cs="Arial"/>
          <w:b/>
          <w:sz w:val="24"/>
          <w:szCs w:val="24"/>
          <w:u w:val="single"/>
        </w:rPr>
        <w:t>Mainstream School</w:t>
      </w:r>
      <w:r w:rsidR="00337432">
        <w:rPr>
          <w:rFonts w:ascii="Arial" w:hAnsi="Arial" w:cs="Arial"/>
          <w:b/>
          <w:sz w:val="24"/>
          <w:szCs w:val="24"/>
          <w:u w:val="single"/>
        </w:rPr>
        <w:t xml:space="preserve"> Funding </w:t>
      </w:r>
      <w:r w:rsidRPr="00517AD6">
        <w:rPr>
          <w:rFonts w:ascii="Arial" w:hAnsi="Arial" w:cs="Arial"/>
          <w:b/>
          <w:sz w:val="24"/>
          <w:szCs w:val="24"/>
          <w:u w:val="single"/>
        </w:rPr>
        <w:t xml:space="preserve">Formula Consultation </w:t>
      </w:r>
    </w:p>
    <w:p w:rsidRPr="00517AD6" w:rsidR="00413F84" w:rsidP="00413F84" w:rsidRDefault="00413F84">
      <w:pPr>
        <w:jc w:val="center"/>
        <w:rPr>
          <w:rFonts w:ascii="Arial" w:hAnsi="Arial" w:cs="Arial"/>
          <w:b/>
          <w:sz w:val="24"/>
          <w:szCs w:val="24"/>
          <w:u w:val="single"/>
        </w:rPr>
      </w:pPr>
      <w:r w:rsidRPr="00517AD6">
        <w:rPr>
          <w:rFonts w:ascii="Arial" w:hAnsi="Arial" w:cs="Arial"/>
          <w:b/>
          <w:sz w:val="24"/>
          <w:szCs w:val="24"/>
          <w:u w:val="single"/>
        </w:rPr>
        <w:t>Autumn 2017</w:t>
      </w:r>
      <w:r w:rsidR="00DC2536">
        <w:rPr>
          <w:rFonts w:ascii="Arial" w:hAnsi="Arial" w:cs="Arial"/>
          <w:b/>
          <w:sz w:val="24"/>
          <w:szCs w:val="24"/>
          <w:u w:val="single"/>
        </w:rPr>
        <w:t xml:space="preserve"> </w:t>
      </w:r>
    </w:p>
    <w:p w:rsidRPr="00517AD6" w:rsidR="00413F84" w:rsidP="00413F84" w:rsidRDefault="00413F84">
      <w:pPr>
        <w:ind w:left="709" w:hanging="709"/>
        <w:rPr>
          <w:rFonts w:ascii="Arial" w:hAnsi="Arial" w:cs="Arial"/>
          <w:b/>
          <w:sz w:val="24"/>
          <w:szCs w:val="24"/>
          <w:u w:val="single"/>
        </w:rPr>
      </w:pPr>
      <w:r w:rsidRPr="00517AD6">
        <w:rPr>
          <w:rFonts w:ascii="Arial" w:hAnsi="Arial" w:cs="Arial"/>
          <w:b/>
          <w:sz w:val="24"/>
          <w:szCs w:val="24"/>
        </w:rPr>
        <w:t>1.</w:t>
      </w:r>
      <w:r w:rsidRPr="00517AD6">
        <w:rPr>
          <w:rFonts w:ascii="Arial" w:hAnsi="Arial" w:cs="Arial"/>
          <w:b/>
          <w:sz w:val="24"/>
          <w:szCs w:val="24"/>
        </w:rPr>
        <w:tab/>
      </w:r>
      <w:r w:rsidRPr="00517AD6">
        <w:rPr>
          <w:rFonts w:ascii="Arial" w:hAnsi="Arial" w:cs="Arial"/>
          <w:b/>
          <w:sz w:val="24"/>
          <w:szCs w:val="24"/>
          <w:u w:val="single"/>
        </w:rPr>
        <w:t>Introduction</w:t>
      </w:r>
      <w:r w:rsidR="00B06AFD">
        <w:rPr>
          <w:rFonts w:ascii="Arial" w:hAnsi="Arial" w:cs="Arial"/>
          <w:b/>
          <w:sz w:val="24"/>
          <w:szCs w:val="24"/>
          <w:u w:val="single"/>
        </w:rPr>
        <w:tab/>
      </w:r>
    </w:p>
    <w:p w:rsidRPr="00C5651B" w:rsidR="00413F84" w:rsidP="00413F84" w:rsidRDefault="00413F84">
      <w:pPr>
        <w:rPr>
          <w:rFonts w:ascii="Arial" w:hAnsi="Arial" w:cs="Arial"/>
          <w:sz w:val="24"/>
          <w:szCs w:val="24"/>
        </w:rPr>
      </w:pPr>
    </w:p>
    <w:p w:rsidRPr="00517AD6" w:rsidR="00413F84" w:rsidP="00413F84" w:rsidRDefault="00146568">
      <w:pPr>
        <w:rPr>
          <w:rFonts w:ascii="Arial" w:hAnsi="Arial" w:cs="Arial"/>
          <w:sz w:val="24"/>
          <w:szCs w:val="24"/>
        </w:rPr>
      </w:pPr>
      <w:r>
        <w:rPr>
          <w:rFonts w:ascii="Arial" w:hAnsi="Arial" w:cs="Arial"/>
          <w:sz w:val="24"/>
          <w:szCs w:val="24"/>
        </w:rPr>
        <w:t>On 1</w:t>
      </w:r>
      <w:r w:rsidR="00BF6F47">
        <w:rPr>
          <w:rFonts w:ascii="Arial" w:hAnsi="Arial" w:cs="Arial"/>
          <w:sz w:val="24"/>
          <w:szCs w:val="24"/>
        </w:rPr>
        <w:t>4</w:t>
      </w:r>
      <w:r w:rsidRPr="00146568">
        <w:rPr>
          <w:rFonts w:ascii="Arial" w:hAnsi="Arial" w:cs="Arial"/>
          <w:sz w:val="24"/>
          <w:szCs w:val="24"/>
          <w:vertAlign w:val="superscript"/>
        </w:rPr>
        <w:t>th</w:t>
      </w:r>
      <w:r>
        <w:rPr>
          <w:rFonts w:ascii="Arial" w:hAnsi="Arial" w:cs="Arial"/>
          <w:sz w:val="24"/>
          <w:szCs w:val="24"/>
        </w:rPr>
        <w:t xml:space="preserve"> </w:t>
      </w:r>
      <w:r w:rsidRPr="00517AD6" w:rsidR="00413F84">
        <w:rPr>
          <w:rFonts w:ascii="Arial" w:hAnsi="Arial" w:cs="Arial"/>
          <w:sz w:val="24"/>
          <w:szCs w:val="24"/>
        </w:rPr>
        <w:t xml:space="preserve">September </w:t>
      </w:r>
      <w:r w:rsidR="00A93D72">
        <w:rPr>
          <w:rFonts w:ascii="Arial" w:hAnsi="Arial" w:cs="Arial"/>
          <w:sz w:val="24"/>
          <w:szCs w:val="24"/>
        </w:rPr>
        <w:t xml:space="preserve">2017 </w:t>
      </w:r>
      <w:r w:rsidRPr="00517AD6" w:rsidR="00413F84">
        <w:rPr>
          <w:rFonts w:ascii="Arial" w:hAnsi="Arial" w:cs="Arial"/>
          <w:sz w:val="24"/>
          <w:szCs w:val="24"/>
        </w:rPr>
        <w:t xml:space="preserve">the DfE announced details of the proposed National Funding Formula (NFF) for mainstream schools </w:t>
      </w:r>
      <w:r w:rsidR="00BB418A">
        <w:rPr>
          <w:rFonts w:ascii="Arial" w:hAnsi="Arial" w:cs="Arial"/>
          <w:sz w:val="24"/>
          <w:szCs w:val="24"/>
        </w:rPr>
        <w:t xml:space="preserve">which is </w:t>
      </w:r>
      <w:r w:rsidR="0000769B">
        <w:rPr>
          <w:rFonts w:ascii="Arial" w:hAnsi="Arial" w:cs="Arial"/>
          <w:sz w:val="24"/>
          <w:szCs w:val="24"/>
        </w:rPr>
        <w:t xml:space="preserve">to </w:t>
      </w:r>
      <w:r w:rsidRPr="00517AD6" w:rsidR="00413F84">
        <w:rPr>
          <w:rFonts w:ascii="Arial" w:hAnsi="Arial" w:cs="Arial"/>
          <w:sz w:val="24"/>
          <w:szCs w:val="24"/>
        </w:rPr>
        <w:t>be phased in from April 2018. The purpose of this document is t</w:t>
      </w:r>
      <w:r w:rsidRPr="00517AD6" w:rsidR="00321E13">
        <w:rPr>
          <w:rFonts w:ascii="Arial" w:hAnsi="Arial" w:cs="Arial"/>
          <w:sz w:val="24"/>
          <w:szCs w:val="24"/>
        </w:rPr>
        <w:t>hree</w:t>
      </w:r>
      <w:r w:rsidRPr="00517AD6" w:rsidR="00413F84">
        <w:rPr>
          <w:rFonts w:ascii="Arial" w:hAnsi="Arial" w:cs="Arial"/>
          <w:sz w:val="24"/>
          <w:szCs w:val="24"/>
        </w:rPr>
        <w:t>-fold, namely to:</w:t>
      </w:r>
    </w:p>
    <w:p w:rsidRPr="00C5651B" w:rsidR="00413F84" w:rsidP="00413F84" w:rsidRDefault="00413F84">
      <w:pPr>
        <w:rPr>
          <w:rFonts w:ascii="Arial" w:hAnsi="Arial" w:cs="Arial"/>
          <w:sz w:val="24"/>
          <w:szCs w:val="24"/>
        </w:rPr>
      </w:pPr>
    </w:p>
    <w:p w:rsidRPr="00517AD6" w:rsidR="00321E13" w:rsidP="00413F84" w:rsidRDefault="00413F84">
      <w:pPr>
        <w:pStyle w:val="ListParagraph"/>
        <w:numPr>
          <w:ilvl w:val="0"/>
          <w:numId w:val="1"/>
        </w:numPr>
        <w:rPr>
          <w:rFonts w:ascii="Arial" w:hAnsi="Arial" w:cs="Arial"/>
          <w:sz w:val="24"/>
          <w:szCs w:val="24"/>
        </w:rPr>
      </w:pPr>
      <w:r w:rsidRPr="00517AD6">
        <w:rPr>
          <w:rFonts w:ascii="Arial" w:hAnsi="Arial" w:cs="Arial"/>
          <w:sz w:val="24"/>
          <w:szCs w:val="24"/>
        </w:rPr>
        <w:t>Provide an overview of the NFF and its impact on funding in Derbyshire</w:t>
      </w:r>
      <w:r w:rsidRPr="00517AD6" w:rsidR="00321E13">
        <w:rPr>
          <w:rFonts w:ascii="Arial" w:hAnsi="Arial" w:cs="Arial"/>
          <w:sz w:val="24"/>
          <w:szCs w:val="24"/>
        </w:rPr>
        <w:t>;</w:t>
      </w:r>
    </w:p>
    <w:p w:rsidRPr="00517AD6" w:rsidR="00413F84" w:rsidP="00413F84" w:rsidRDefault="00F55CD1">
      <w:pPr>
        <w:pStyle w:val="ListParagraph"/>
        <w:numPr>
          <w:ilvl w:val="0"/>
          <w:numId w:val="1"/>
        </w:numPr>
        <w:rPr>
          <w:rFonts w:ascii="Arial" w:hAnsi="Arial" w:cs="Arial"/>
          <w:sz w:val="24"/>
          <w:szCs w:val="24"/>
        </w:rPr>
      </w:pPr>
      <w:r>
        <w:rPr>
          <w:rFonts w:ascii="Arial" w:hAnsi="Arial" w:cs="Arial"/>
          <w:sz w:val="24"/>
          <w:szCs w:val="24"/>
        </w:rPr>
        <w:t>S</w:t>
      </w:r>
      <w:r w:rsidRPr="00517AD6" w:rsidR="00413F84">
        <w:rPr>
          <w:rFonts w:ascii="Arial" w:hAnsi="Arial" w:cs="Arial"/>
          <w:sz w:val="24"/>
          <w:szCs w:val="24"/>
        </w:rPr>
        <w:t xml:space="preserve">eek views on </w:t>
      </w:r>
      <w:r w:rsidRPr="00517AD6" w:rsidR="00321E13">
        <w:rPr>
          <w:rFonts w:ascii="Arial" w:hAnsi="Arial" w:cs="Arial"/>
          <w:sz w:val="24"/>
          <w:szCs w:val="24"/>
        </w:rPr>
        <w:t xml:space="preserve">Derbyshire’s </w:t>
      </w:r>
      <w:r w:rsidRPr="00517AD6" w:rsidR="00413F84">
        <w:rPr>
          <w:rFonts w:ascii="Arial" w:hAnsi="Arial" w:cs="Arial"/>
          <w:sz w:val="24"/>
          <w:szCs w:val="24"/>
        </w:rPr>
        <w:t xml:space="preserve">local </w:t>
      </w:r>
      <w:r w:rsidRPr="00517AD6" w:rsidR="00321E13">
        <w:rPr>
          <w:rFonts w:ascii="Arial" w:hAnsi="Arial" w:cs="Arial"/>
          <w:sz w:val="24"/>
          <w:szCs w:val="24"/>
        </w:rPr>
        <w:t xml:space="preserve">mainstream </w:t>
      </w:r>
      <w:r w:rsidRPr="00517AD6" w:rsidR="00413F84">
        <w:rPr>
          <w:rFonts w:ascii="Arial" w:hAnsi="Arial" w:cs="Arial"/>
          <w:sz w:val="24"/>
          <w:szCs w:val="24"/>
        </w:rPr>
        <w:t>funding formula</w:t>
      </w:r>
      <w:r w:rsidR="009D4DC1">
        <w:rPr>
          <w:rFonts w:ascii="Arial" w:hAnsi="Arial" w:cs="Arial"/>
          <w:sz w:val="24"/>
          <w:szCs w:val="24"/>
        </w:rPr>
        <w:t>e</w:t>
      </w:r>
      <w:r w:rsidRPr="00517AD6" w:rsidR="00413F84">
        <w:rPr>
          <w:rFonts w:ascii="Arial" w:hAnsi="Arial" w:cs="Arial"/>
          <w:sz w:val="24"/>
          <w:szCs w:val="24"/>
        </w:rPr>
        <w:t xml:space="preserve"> for 2018-19; and</w:t>
      </w:r>
    </w:p>
    <w:p w:rsidRPr="00517AD6" w:rsidR="00413F84" w:rsidP="00413F84" w:rsidRDefault="00413F84">
      <w:pPr>
        <w:pStyle w:val="ListParagraph"/>
        <w:numPr>
          <w:ilvl w:val="0"/>
          <w:numId w:val="1"/>
        </w:numPr>
        <w:rPr>
          <w:rFonts w:ascii="Arial" w:hAnsi="Arial" w:cs="Arial"/>
          <w:sz w:val="24"/>
          <w:szCs w:val="24"/>
        </w:rPr>
      </w:pPr>
      <w:r w:rsidRPr="00517AD6">
        <w:rPr>
          <w:rFonts w:ascii="Arial" w:hAnsi="Arial" w:cs="Arial"/>
          <w:sz w:val="24"/>
          <w:szCs w:val="24"/>
        </w:rPr>
        <w:t xml:space="preserve">Explain how the NFF works in </w:t>
      </w:r>
      <w:r w:rsidR="001F19EE">
        <w:rPr>
          <w:rFonts w:ascii="Arial" w:hAnsi="Arial" w:cs="Arial"/>
          <w:sz w:val="24"/>
          <w:szCs w:val="24"/>
        </w:rPr>
        <w:t xml:space="preserve">more </w:t>
      </w:r>
      <w:r w:rsidRPr="00517AD6">
        <w:rPr>
          <w:rFonts w:ascii="Arial" w:hAnsi="Arial" w:cs="Arial"/>
          <w:sz w:val="24"/>
          <w:szCs w:val="24"/>
        </w:rPr>
        <w:t>detail (see Annexe)</w:t>
      </w:r>
    </w:p>
    <w:p w:rsidRPr="00C5651B" w:rsidR="00413F84" w:rsidP="00413F84" w:rsidRDefault="00413F84">
      <w:pPr>
        <w:rPr>
          <w:rFonts w:ascii="Arial" w:hAnsi="Arial" w:cs="Arial"/>
          <w:sz w:val="24"/>
          <w:szCs w:val="24"/>
        </w:rPr>
      </w:pPr>
    </w:p>
    <w:p w:rsidRPr="00517AD6" w:rsidR="00413F84" w:rsidP="00413F84" w:rsidRDefault="00413F84">
      <w:pPr>
        <w:rPr>
          <w:rFonts w:ascii="Arial" w:hAnsi="Arial" w:cs="Arial"/>
          <w:sz w:val="24"/>
          <w:szCs w:val="24"/>
        </w:rPr>
      </w:pPr>
      <w:r w:rsidRPr="00517AD6">
        <w:rPr>
          <w:rFonts w:ascii="Arial" w:hAnsi="Arial" w:cs="Arial"/>
          <w:sz w:val="24"/>
          <w:szCs w:val="24"/>
        </w:rPr>
        <w:t>The DfE’s announcement confirmed that</w:t>
      </w:r>
      <w:r w:rsidR="007272AF">
        <w:rPr>
          <w:rFonts w:ascii="Arial" w:hAnsi="Arial" w:cs="Arial"/>
          <w:sz w:val="24"/>
          <w:szCs w:val="24"/>
        </w:rPr>
        <w:t xml:space="preserve">, </w:t>
      </w:r>
      <w:r w:rsidRPr="00517AD6">
        <w:rPr>
          <w:rFonts w:ascii="Arial" w:hAnsi="Arial" w:cs="Arial"/>
          <w:sz w:val="24"/>
          <w:szCs w:val="24"/>
        </w:rPr>
        <w:t xml:space="preserve">for the next two years </w:t>
      </w:r>
      <w:r w:rsidR="007272AF">
        <w:rPr>
          <w:rFonts w:ascii="Arial" w:hAnsi="Arial" w:cs="Arial"/>
          <w:sz w:val="24"/>
          <w:szCs w:val="24"/>
        </w:rPr>
        <w:t xml:space="preserve">at least, </w:t>
      </w:r>
      <w:r w:rsidRPr="00517AD6">
        <w:rPr>
          <w:rFonts w:ascii="Arial" w:hAnsi="Arial" w:cs="Arial"/>
          <w:sz w:val="24"/>
          <w:szCs w:val="24"/>
        </w:rPr>
        <w:t>LAs will be permitted to set their own local formula</w:t>
      </w:r>
      <w:r w:rsidR="001F19EE">
        <w:rPr>
          <w:rFonts w:ascii="Arial" w:hAnsi="Arial" w:cs="Arial"/>
          <w:sz w:val="24"/>
          <w:szCs w:val="24"/>
        </w:rPr>
        <w:t>e</w:t>
      </w:r>
      <w:r w:rsidRPr="00517AD6">
        <w:rPr>
          <w:rFonts w:ascii="Arial" w:hAnsi="Arial" w:cs="Arial"/>
          <w:sz w:val="24"/>
          <w:szCs w:val="24"/>
        </w:rPr>
        <w:t>.</w:t>
      </w:r>
      <w:r w:rsidR="00F55CD1">
        <w:rPr>
          <w:rFonts w:ascii="Arial" w:hAnsi="Arial" w:cs="Arial"/>
          <w:sz w:val="24"/>
          <w:szCs w:val="24"/>
        </w:rPr>
        <w:t xml:space="preserve">  </w:t>
      </w:r>
      <w:r w:rsidRPr="00517AD6">
        <w:rPr>
          <w:rFonts w:ascii="Arial" w:hAnsi="Arial" w:cs="Arial"/>
          <w:sz w:val="24"/>
          <w:szCs w:val="24"/>
        </w:rPr>
        <w:t>However, LAs are encouraged to use this two year transitional period to make steps towards the NFF.</w:t>
      </w:r>
      <w:r w:rsidR="00916EFD">
        <w:rPr>
          <w:rFonts w:ascii="Arial" w:hAnsi="Arial" w:cs="Arial"/>
          <w:sz w:val="24"/>
          <w:szCs w:val="24"/>
        </w:rPr>
        <w:t xml:space="preserve">  B</w:t>
      </w:r>
      <w:r w:rsidR="00BB418A">
        <w:rPr>
          <w:rFonts w:ascii="Arial" w:hAnsi="Arial" w:cs="Arial"/>
          <w:sz w:val="24"/>
          <w:szCs w:val="24"/>
        </w:rPr>
        <w:t xml:space="preserve">efore making its final decisions </w:t>
      </w:r>
      <w:r w:rsidR="00916EFD">
        <w:rPr>
          <w:rFonts w:ascii="Arial" w:hAnsi="Arial" w:cs="Arial"/>
          <w:sz w:val="24"/>
          <w:szCs w:val="24"/>
        </w:rPr>
        <w:t xml:space="preserve">for next year </w:t>
      </w:r>
      <w:r w:rsidRPr="00517AD6">
        <w:rPr>
          <w:rFonts w:ascii="Arial" w:hAnsi="Arial" w:cs="Arial"/>
          <w:sz w:val="24"/>
          <w:szCs w:val="24"/>
        </w:rPr>
        <w:t xml:space="preserve">the Council </w:t>
      </w:r>
      <w:r w:rsidR="00BB418A">
        <w:rPr>
          <w:rFonts w:ascii="Arial" w:hAnsi="Arial" w:cs="Arial"/>
          <w:sz w:val="24"/>
          <w:szCs w:val="24"/>
        </w:rPr>
        <w:t xml:space="preserve">would welcome </w:t>
      </w:r>
      <w:r w:rsidRPr="00517AD6">
        <w:rPr>
          <w:rFonts w:ascii="Arial" w:hAnsi="Arial" w:cs="Arial"/>
          <w:sz w:val="24"/>
          <w:szCs w:val="24"/>
        </w:rPr>
        <w:t xml:space="preserve">the views of schools, academies and the Schools Forum </w:t>
      </w:r>
      <w:r w:rsidR="00BB418A">
        <w:rPr>
          <w:rFonts w:ascii="Arial" w:hAnsi="Arial" w:cs="Arial"/>
          <w:sz w:val="24"/>
          <w:szCs w:val="24"/>
        </w:rPr>
        <w:t xml:space="preserve">on the </w:t>
      </w:r>
      <w:r w:rsidR="005772E3">
        <w:rPr>
          <w:rFonts w:ascii="Arial" w:hAnsi="Arial" w:cs="Arial"/>
          <w:sz w:val="24"/>
          <w:szCs w:val="24"/>
        </w:rPr>
        <w:t xml:space="preserve">way </w:t>
      </w:r>
      <w:r w:rsidR="00BB418A">
        <w:rPr>
          <w:rFonts w:ascii="Arial" w:hAnsi="Arial" w:cs="Arial"/>
          <w:sz w:val="24"/>
          <w:szCs w:val="24"/>
        </w:rPr>
        <w:t>forward. To facilitate the process, e</w:t>
      </w:r>
      <w:r w:rsidRPr="00517AD6" w:rsidR="00BB418A">
        <w:rPr>
          <w:rFonts w:ascii="Arial" w:hAnsi="Arial" w:cs="Arial"/>
          <w:sz w:val="24"/>
          <w:szCs w:val="24"/>
        </w:rPr>
        <w:t xml:space="preserve">nclosed with this consultation document is a pro-forma response form which should be used to give your views. Responses must be e-mailed to </w:t>
      </w:r>
      <w:hyperlink w:history="1" r:id="rId8">
        <w:r w:rsidRPr="00517AD6" w:rsidR="00BB418A">
          <w:rPr>
            <w:rStyle w:val="Hyperlink"/>
            <w:rFonts w:ascii="Arial" w:hAnsi="Arial" w:cs="Arial"/>
            <w:sz w:val="24"/>
            <w:szCs w:val="24"/>
          </w:rPr>
          <w:t>schoolfunding@derbyshire.gov.uk</w:t>
        </w:r>
      </w:hyperlink>
      <w:r w:rsidRPr="00517AD6" w:rsidR="00BB418A">
        <w:rPr>
          <w:rFonts w:ascii="Arial" w:hAnsi="Arial" w:cs="Arial"/>
          <w:sz w:val="24"/>
          <w:szCs w:val="24"/>
        </w:rPr>
        <w:t xml:space="preserve"> by the closing date of </w:t>
      </w:r>
      <w:r w:rsidRPr="00517AD6" w:rsidR="00BB418A">
        <w:rPr>
          <w:rFonts w:ascii="Arial" w:hAnsi="Arial" w:cs="Arial"/>
          <w:b/>
          <w:color w:val="FF0000"/>
          <w:sz w:val="24"/>
          <w:szCs w:val="24"/>
        </w:rPr>
        <w:t>1</w:t>
      </w:r>
      <w:r w:rsidRPr="00517AD6" w:rsidR="00BB418A">
        <w:rPr>
          <w:rFonts w:ascii="Arial" w:hAnsi="Arial" w:cs="Arial"/>
          <w:b/>
          <w:color w:val="FF0000"/>
          <w:sz w:val="24"/>
          <w:szCs w:val="24"/>
          <w:vertAlign w:val="superscript"/>
        </w:rPr>
        <w:t>st</w:t>
      </w:r>
      <w:r w:rsidRPr="00517AD6" w:rsidR="00BB418A">
        <w:rPr>
          <w:rFonts w:ascii="Arial" w:hAnsi="Arial" w:cs="Arial"/>
          <w:b/>
          <w:color w:val="FF0000"/>
          <w:sz w:val="24"/>
          <w:szCs w:val="24"/>
        </w:rPr>
        <w:t xml:space="preserve"> December 2017</w:t>
      </w:r>
      <w:r w:rsidRPr="00517AD6" w:rsidR="00BB418A">
        <w:rPr>
          <w:rFonts w:ascii="Arial" w:hAnsi="Arial" w:cs="Arial"/>
          <w:color w:val="FF0000"/>
          <w:sz w:val="24"/>
          <w:szCs w:val="24"/>
        </w:rPr>
        <w:t xml:space="preserve"> </w:t>
      </w:r>
      <w:r w:rsidRPr="00517AD6" w:rsidR="00BB418A">
        <w:rPr>
          <w:rFonts w:ascii="Arial" w:hAnsi="Arial" w:cs="Arial"/>
          <w:sz w:val="24"/>
          <w:szCs w:val="24"/>
        </w:rPr>
        <w:t>at the latest.</w:t>
      </w:r>
    </w:p>
    <w:p w:rsidRPr="00C5651B" w:rsidR="00413F84" w:rsidP="00413F84" w:rsidRDefault="00413F84">
      <w:pPr>
        <w:rPr>
          <w:rFonts w:ascii="Arial" w:hAnsi="Arial" w:cs="Arial"/>
          <w:sz w:val="24"/>
          <w:szCs w:val="24"/>
        </w:rPr>
      </w:pPr>
    </w:p>
    <w:p w:rsidRPr="00517AD6" w:rsidR="00413F84" w:rsidP="00413F84" w:rsidRDefault="00413F84">
      <w:pPr>
        <w:rPr>
          <w:rFonts w:ascii="Arial" w:hAnsi="Arial" w:cs="Arial"/>
          <w:sz w:val="24"/>
          <w:szCs w:val="24"/>
        </w:rPr>
      </w:pPr>
      <w:r w:rsidRPr="00517AD6">
        <w:rPr>
          <w:rFonts w:ascii="Arial" w:hAnsi="Arial" w:cs="Arial"/>
          <w:sz w:val="24"/>
          <w:szCs w:val="24"/>
        </w:rPr>
        <w:t xml:space="preserve">The remainder of </w:t>
      </w:r>
      <w:r w:rsidR="00C5651B">
        <w:rPr>
          <w:rFonts w:ascii="Arial" w:hAnsi="Arial" w:cs="Arial"/>
          <w:sz w:val="24"/>
          <w:szCs w:val="24"/>
        </w:rPr>
        <w:t>s</w:t>
      </w:r>
      <w:r w:rsidRPr="00517AD6">
        <w:rPr>
          <w:rFonts w:ascii="Arial" w:hAnsi="Arial" w:cs="Arial"/>
          <w:sz w:val="24"/>
          <w:szCs w:val="24"/>
        </w:rPr>
        <w:t xml:space="preserve">ection </w:t>
      </w:r>
      <w:r w:rsidR="00BB418A">
        <w:rPr>
          <w:rFonts w:ascii="Arial" w:hAnsi="Arial" w:cs="Arial"/>
          <w:sz w:val="24"/>
          <w:szCs w:val="24"/>
        </w:rPr>
        <w:t xml:space="preserve">1 </w:t>
      </w:r>
      <w:r w:rsidRPr="00517AD6">
        <w:rPr>
          <w:rFonts w:ascii="Arial" w:hAnsi="Arial" w:cs="Arial"/>
          <w:sz w:val="24"/>
          <w:szCs w:val="24"/>
        </w:rPr>
        <w:t>provide</w:t>
      </w:r>
      <w:r w:rsidR="005C7CBC">
        <w:rPr>
          <w:rFonts w:ascii="Arial" w:hAnsi="Arial" w:cs="Arial"/>
          <w:sz w:val="24"/>
          <w:szCs w:val="24"/>
        </w:rPr>
        <w:t>s</w:t>
      </w:r>
      <w:r w:rsidRPr="00517AD6">
        <w:rPr>
          <w:rFonts w:ascii="Arial" w:hAnsi="Arial" w:cs="Arial"/>
          <w:sz w:val="24"/>
          <w:szCs w:val="24"/>
        </w:rPr>
        <w:t xml:space="preserve"> an overview of the NFF</w:t>
      </w:r>
      <w:r w:rsidR="00BB418A">
        <w:rPr>
          <w:rFonts w:ascii="Arial" w:hAnsi="Arial" w:cs="Arial"/>
          <w:sz w:val="24"/>
          <w:szCs w:val="24"/>
        </w:rPr>
        <w:t xml:space="preserve"> and </w:t>
      </w:r>
      <w:r w:rsidRPr="00517AD6">
        <w:rPr>
          <w:rFonts w:ascii="Arial" w:hAnsi="Arial" w:cs="Arial"/>
          <w:sz w:val="24"/>
          <w:szCs w:val="24"/>
        </w:rPr>
        <w:t xml:space="preserve">its impact on funding </w:t>
      </w:r>
      <w:r w:rsidR="0000769B">
        <w:rPr>
          <w:rFonts w:ascii="Arial" w:hAnsi="Arial" w:cs="Arial"/>
          <w:sz w:val="24"/>
          <w:szCs w:val="24"/>
        </w:rPr>
        <w:t xml:space="preserve">levels </w:t>
      </w:r>
      <w:r w:rsidR="00C5651B">
        <w:rPr>
          <w:rFonts w:ascii="Arial" w:hAnsi="Arial" w:cs="Arial"/>
          <w:sz w:val="24"/>
          <w:szCs w:val="24"/>
        </w:rPr>
        <w:t>in Derbyshire</w:t>
      </w:r>
      <w:r w:rsidR="00BB418A">
        <w:rPr>
          <w:rFonts w:ascii="Arial" w:hAnsi="Arial" w:cs="Arial"/>
          <w:sz w:val="24"/>
          <w:szCs w:val="24"/>
        </w:rPr>
        <w:t>.</w:t>
      </w:r>
      <w:r w:rsidRPr="00517AD6">
        <w:rPr>
          <w:rFonts w:ascii="Arial" w:hAnsi="Arial" w:cs="Arial"/>
          <w:sz w:val="24"/>
          <w:szCs w:val="24"/>
        </w:rPr>
        <w:t xml:space="preserve"> </w:t>
      </w:r>
    </w:p>
    <w:p w:rsidRPr="00C5651B" w:rsidR="00413F84" w:rsidP="00413F84" w:rsidRDefault="00413F84">
      <w:pPr>
        <w:rPr>
          <w:rFonts w:ascii="Arial" w:hAnsi="Arial" w:cs="Arial"/>
          <w:sz w:val="24"/>
          <w:szCs w:val="24"/>
        </w:rPr>
      </w:pPr>
    </w:p>
    <w:p w:rsidRPr="00517AD6" w:rsidR="00413F84" w:rsidP="00413F84" w:rsidRDefault="00413F84">
      <w:pPr>
        <w:rPr>
          <w:rFonts w:ascii="Arial" w:hAnsi="Arial" w:cs="Arial"/>
          <w:b/>
          <w:sz w:val="24"/>
          <w:szCs w:val="24"/>
          <w:u w:val="single"/>
        </w:rPr>
      </w:pPr>
      <w:r w:rsidRPr="00517AD6">
        <w:rPr>
          <w:rFonts w:ascii="Arial" w:hAnsi="Arial" w:cs="Arial"/>
          <w:b/>
          <w:sz w:val="24"/>
          <w:szCs w:val="24"/>
        </w:rPr>
        <w:t>1.1</w:t>
      </w:r>
      <w:r w:rsidRPr="00517AD6">
        <w:rPr>
          <w:rFonts w:ascii="Arial" w:hAnsi="Arial" w:cs="Arial"/>
          <w:b/>
          <w:sz w:val="24"/>
          <w:szCs w:val="24"/>
        </w:rPr>
        <w:tab/>
      </w:r>
      <w:r w:rsidRPr="00517AD6">
        <w:rPr>
          <w:rFonts w:ascii="Arial" w:hAnsi="Arial" w:cs="Arial"/>
          <w:b/>
          <w:sz w:val="24"/>
          <w:szCs w:val="24"/>
          <w:u w:val="single"/>
        </w:rPr>
        <w:t>National Funding Formula Overview</w:t>
      </w:r>
    </w:p>
    <w:p w:rsidRPr="0010699E" w:rsidR="00413F84" w:rsidP="00413F84" w:rsidRDefault="00413F84">
      <w:pPr>
        <w:rPr>
          <w:rFonts w:ascii="Arial" w:hAnsi="Arial" w:cs="Arial"/>
          <w:sz w:val="20"/>
          <w:szCs w:val="24"/>
        </w:rPr>
      </w:pPr>
    </w:p>
    <w:p w:rsidR="00413F84" w:rsidP="00413F84" w:rsidRDefault="00413F84">
      <w:pPr>
        <w:rPr>
          <w:rFonts w:ascii="Arial" w:hAnsi="Arial" w:cs="Arial"/>
          <w:sz w:val="24"/>
          <w:szCs w:val="24"/>
        </w:rPr>
      </w:pPr>
      <w:r w:rsidRPr="00517AD6">
        <w:rPr>
          <w:rFonts w:ascii="Arial" w:hAnsi="Arial" w:cs="Arial"/>
          <w:sz w:val="24"/>
          <w:szCs w:val="24"/>
        </w:rPr>
        <w:t>In terms of the funding formula itself, the structure of the NFF is largely as per the consultation earlier this year, the proposed factors being as follows:</w:t>
      </w:r>
    </w:p>
    <w:p w:rsidRPr="00C5651B" w:rsidR="00C5651B" w:rsidP="00413F84" w:rsidRDefault="00C5651B">
      <w:pPr>
        <w:rPr>
          <w:rFonts w:ascii="Arial" w:hAnsi="Arial" w:cs="Arial"/>
          <w:sz w:val="8"/>
          <w:szCs w:val="24"/>
        </w:rPr>
      </w:pPr>
    </w:p>
    <w:p w:rsidRPr="0010699E" w:rsidR="00413F84" w:rsidP="00413F84" w:rsidRDefault="00413F84">
      <w:pPr>
        <w:rPr>
          <w:rFonts w:ascii="Arial" w:hAnsi="Arial" w:cs="Arial"/>
          <w:sz w:val="8"/>
          <w:szCs w:val="24"/>
        </w:rPr>
      </w:pPr>
    </w:p>
    <w:p w:rsidRPr="00517AD6" w:rsidR="00C428A5" w:rsidRDefault="00413F84">
      <w:pPr>
        <w:rPr>
          <w:rFonts w:ascii="Arial" w:hAnsi="Arial" w:cs="Arial"/>
          <w:sz w:val="24"/>
          <w:szCs w:val="24"/>
        </w:rPr>
      </w:pPr>
      <w:r w:rsidRPr="00517AD6">
        <w:rPr>
          <w:rFonts w:ascii="Arial" w:hAnsi="Arial" w:cs="Arial"/>
          <w:noProof/>
          <w:sz w:val="24"/>
          <w:szCs w:val="24"/>
          <w:lang w:eastAsia="en-GB"/>
        </w:rPr>
        <w:drawing>
          <wp:inline distT="0" distB="0" distL="0" distR="0" wp14:anchorId="62EEAF4B" wp14:editId="79C7C727">
            <wp:extent cx="6451754" cy="3907631"/>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9205" cy="3930314"/>
                    </a:xfrm>
                    <a:prstGeom prst="rect">
                      <a:avLst/>
                    </a:prstGeom>
                    <a:noFill/>
                    <a:ln>
                      <a:noFill/>
                    </a:ln>
                  </pic:spPr>
                </pic:pic>
              </a:graphicData>
            </a:graphic>
          </wp:inline>
        </w:drawing>
      </w:r>
    </w:p>
    <w:p w:rsidR="00916EFD" w:rsidP="009967D4" w:rsidRDefault="00916EFD">
      <w:pPr>
        <w:rPr>
          <w:rFonts w:ascii="Arial" w:hAnsi="Arial" w:cs="Arial"/>
          <w:sz w:val="24"/>
          <w:szCs w:val="24"/>
        </w:rPr>
      </w:pPr>
    </w:p>
    <w:p w:rsidR="00413F84" w:rsidP="009967D4" w:rsidRDefault="00413F84">
      <w:pPr>
        <w:rPr>
          <w:rFonts w:ascii="Arial" w:hAnsi="Arial" w:cs="Arial"/>
          <w:sz w:val="24"/>
          <w:szCs w:val="24"/>
        </w:rPr>
      </w:pPr>
      <w:r w:rsidRPr="00517AD6">
        <w:rPr>
          <w:rFonts w:ascii="Arial" w:hAnsi="Arial" w:cs="Arial"/>
          <w:sz w:val="24"/>
          <w:szCs w:val="24"/>
        </w:rPr>
        <w:t xml:space="preserve">The full </w:t>
      </w:r>
      <w:r w:rsidR="00C6420E">
        <w:rPr>
          <w:rFonts w:ascii="Arial" w:hAnsi="Arial" w:cs="Arial"/>
          <w:sz w:val="24"/>
          <w:szCs w:val="24"/>
        </w:rPr>
        <w:t xml:space="preserve">NFF </w:t>
      </w:r>
      <w:r w:rsidRPr="00517AD6">
        <w:rPr>
          <w:rFonts w:ascii="Arial" w:hAnsi="Arial" w:cs="Arial"/>
          <w:sz w:val="24"/>
          <w:szCs w:val="24"/>
        </w:rPr>
        <w:t xml:space="preserve">multiplier values are provided in </w:t>
      </w:r>
      <w:r w:rsidR="00474D45">
        <w:rPr>
          <w:rFonts w:ascii="Arial" w:hAnsi="Arial" w:cs="Arial"/>
          <w:sz w:val="24"/>
          <w:szCs w:val="24"/>
        </w:rPr>
        <w:t>T</w:t>
      </w:r>
      <w:r w:rsidRPr="00517AD6">
        <w:rPr>
          <w:rFonts w:ascii="Arial" w:hAnsi="Arial" w:cs="Arial"/>
          <w:sz w:val="24"/>
          <w:szCs w:val="24"/>
        </w:rPr>
        <w:t xml:space="preserve">able </w:t>
      </w:r>
      <w:r w:rsidR="00474D45">
        <w:rPr>
          <w:rFonts w:ascii="Arial" w:hAnsi="Arial" w:cs="Arial"/>
          <w:sz w:val="24"/>
          <w:szCs w:val="24"/>
        </w:rPr>
        <w:t xml:space="preserve">1 </w:t>
      </w:r>
      <w:r w:rsidR="007C7D7A">
        <w:rPr>
          <w:rFonts w:ascii="Arial" w:hAnsi="Arial" w:cs="Arial"/>
          <w:sz w:val="24"/>
          <w:szCs w:val="24"/>
        </w:rPr>
        <w:t>overleaf</w:t>
      </w:r>
      <w:r w:rsidRPr="00517AD6">
        <w:rPr>
          <w:rFonts w:ascii="Arial" w:hAnsi="Arial" w:cs="Arial"/>
          <w:sz w:val="24"/>
          <w:szCs w:val="24"/>
        </w:rPr>
        <w:t xml:space="preserve">, figures in bold show </w:t>
      </w:r>
      <w:r w:rsidR="00350818">
        <w:rPr>
          <w:rFonts w:ascii="Arial" w:hAnsi="Arial" w:cs="Arial"/>
          <w:sz w:val="24"/>
          <w:szCs w:val="24"/>
        </w:rPr>
        <w:t xml:space="preserve">those values that </w:t>
      </w:r>
      <w:r w:rsidRPr="00517AD6">
        <w:rPr>
          <w:rFonts w:ascii="Arial" w:hAnsi="Arial" w:cs="Arial"/>
          <w:sz w:val="24"/>
          <w:szCs w:val="24"/>
        </w:rPr>
        <w:t xml:space="preserve">have </w:t>
      </w:r>
      <w:r w:rsidR="00C5651B">
        <w:rPr>
          <w:rFonts w:ascii="Arial" w:hAnsi="Arial" w:cs="Arial"/>
          <w:sz w:val="24"/>
          <w:szCs w:val="24"/>
        </w:rPr>
        <w:t xml:space="preserve">been </w:t>
      </w:r>
      <w:r w:rsidRPr="00517AD6">
        <w:rPr>
          <w:rFonts w:ascii="Arial" w:hAnsi="Arial" w:cs="Arial"/>
          <w:sz w:val="24"/>
          <w:szCs w:val="24"/>
        </w:rPr>
        <w:t xml:space="preserve">increased since the </w:t>
      </w:r>
      <w:r w:rsidR="007D0E16">
        <w:rPr>
          <w:rFonts w:ascii="Arial" w:hAnsi="Arial" w:cs="Arial"/>
          <w:sz w:val="24"/>
          <w:szCs w:val="24"/>
        </w:rPr>
        <w:t xml:space="preserve">December 2016 national </w:t>
      </w:r>
      <w:r w:rsidRPr="00517AD6">
        <w:rPr>
          <w:rFonts w:ascii="Arial" w:hAnsi="Arial" w:cs="Arial"/>
          <w:sz w:val="24"/>
          <w:szCs w:val="24"/>
        </w:rPr>
        <w:t>consultation.</w:t>
      </w:r>
      <w:r w:rsidR="00475D07">
        <w:rPr>
          <w:rFonts w:ascii="Arial" w:hAnsi="Arial" w:cs="Arial"/>
          <w:sz w:val="24"/>
          <w:szCs w:val="24"/>
        </w:rPr>
        <w:t xml:space="preserve"> Further details regarding the NFF factors are provided in the Annexe to this consultation document.</w:t>
      </w:r>
    </w:p>
    <w:p w:rsidRPr="00474D45" w:rsidR="00474D45" w:rsidP="009967D4" w:rsidRDefault="00474D45">
      <w:pPr>
        <w:rPr>
          <w:rFonts w:ascii="Arial" w:hAnsi="Arial" w:cs="Arial"/>
          <w:b/>
          <w:sz w:val="24"/>
          <w:szCs w:val="24"/>
          <w:u w:val="single"/>
        </w:rPr>
      </w:pPr>
      <w:r w:rsidRPr="00474D45">
        <w:rPr>
          <w:rFonts w:ascii="Arial" w:hAnsi="Arial" w:cs="Arial"/>
          <w:b/>
          <w:sz w:val="24"/>
          <w:szCs w:val="24"/>
          <w:u w:val="single"/>
        </w:rPr>
        <w:lastRenderedPageBreak/>
        <w:t xml:space="preserve">Table 1 – Derbyshire and National Funding Formula multipliers </w:t>
      </w:r>
    </w:p>
    <w:p w:rsidRPr="00475D07" w:rsidR="009967D4" w:rsidP="009967D4" w:rsidRDefault="009967D4">
      <w:pPr>
        <w:rPr>
          <w:rFonts w:ascii="Arial" w:hAnsi="Arial" w:cs="Arial"/>
          <w:sz w:val="24"/>
          <w:szCs w:val="24"/>
        </w:rPr>
      </w:pPr>
    </w:p>
    <w:tbl>
      <w:tblPr>
        <w:tblStyle w:val="TableGrid"/>
        <w:tblW w:w="9922" w:type="dxa"/>
        <w:tblInd w:w="-5" w:type="dxa"/>
        <w:tblLayout w:type="fixed"/>
        <w:tblLook w:val="04A0" w:firstRow="1" w:lastRow="0" w:firstColumn="1" w:lastColumn="0" w:noHBand="0" w:noVBand="1"/>
      </w:tblPr>
      <w:tblGrid>
        <w:gridCol w:w="2977"/>
        <w:gridCol w:w="3969"/>
        <w:gridCol w:w="1417"/>
        <w:gridCol w:w="1559"/>
      </w:tblGrid>
      <w:tr w:rsidRPr="00517AD6" w:rsidR="00182758" w:rsidTr="00F30DF9">
        <w:tc>
          <w:tcPr>
            <w:tcW w:w="6946" w:type="dxa"/>
            <w:gridSpan w:val="2"/>
            <w:vAlign w:val="center"/>
          </w:tcPr>
          <w:p w:rsidRPr="00C6420E" w:rsidR="00182758" w:rsidP="00C428A5" w:rsidRDefault="00182758">
            <w:pPr>
              <w:rPr>
                <w:rFonts w:ascii="Arial" w:hAnsi="Arial" w:cs="Arial"/>
                <w:b/>
                <w:color w:val="000000"/>
              </w:rPr>
            </w:pPr>
          </w:p>
        </w:tc>
        <w:tc>
          <w:tcPr>
            <w:tcW w:w="2976" w:type="dxa"/>
            <w:gridSpan w:val="2"/>
            <w:vAlign w:val="center"/>
          </w:tcPr>
          <w:p w:rsidRPr="00C6420E" w:rsidR="00182758" w:rsidP="00182758" w:rsidRDefault="00182758">
            <w:pPr>
              <w:jc w:val="center"/>
              <w:rPr>
                <w:rFonts w:ascii="Arial" w:hAnsi="Arial" w:cs="Arial"/>
                <w:b/>
                <w:color w:val="000000"/>
              </w:rPr>
            </w:pPr>
            <w:r>
              <w:rPr>
                <w:rFonts w:ascii="Arial" w:hAnsi="Arial" w:cs="Arial"/>
                <w:b/>
                <w:color w:val="000000"/>
              </w:rPr>
              <w:t>Multipliers</w:t>
            </w:r>
          </w:p>
        </w:tc>
      </w:tr>
      <w:tr w:rsidRPr="00517AD6" w:rsidR="00182758" w:rsidTr="00F30DF9">
        <w:tc>
          <w:tcPr>
            <w:tcW w:w="6946" w:type="dxa"/>
            <w:gridSpan w:val="2"/>
            <w:vAlign w:val="center"/>
          </w:tcPr>
          <w:p w:rsidRPr="00C6420E" w:rsidR="00182758" w:rsidP="00C428A5" w:rsidRDefault="00182758">
            <w:pPr>
              <w:rPr>
                <w:rFonts w:ascii="Arial" w:hAnsi="Arial" w:cs="Arial"/>
                <w:b/>
                <w:color w:val="000000"/>
              </w:rPr>
            </w:pPr>
            <w:r w:rsidRPr="00C6420E">
              <w:rPr>
                <w:rFonts w:ascii="Arial" w:hAnsi="Arial" w:cs="Arial"/>
                <w:b/>
                <w:color w:val="000000"/>
              </w:rPr>
              <w:t>2017-18 Primary Sector Factors</w:t>
            </w:r>
          </w:p>
        </w:tc>
        <w:tc>
          <w:tcPr>
            <w:tcW w:w="1417" w:type="dxa"/>
            <w:vAlign w:val="center"/>
          </w:tcPr>
          <w:p w:rsidRPr="00C6420E" w:rsidR="00182758" w:rsidP="00413F84" w:rsidRDefault="00182758">
            <w:pPr>
              <w:jc w:val="right"/>
              <w:rPr>
                <w:rFonts w:ascii="Arial" w:hAnsi="Arial" w:cs="Arial"/>
                <w:b/>
                <w:color w:val="000000"/>
              </w:rPr>
            </w:pPr>
            <w:r w:rsidRPr="00C6420E">
              <w:rPr>
                <w:rFonts w:ascii="Arial" w:hAnsi="Arial" w:cs="Arial"/>
                <w:b/>
                <w:color w:val="000000"/>
              </w:rPr>
              <w:t>Derbyshire</w:t>
            </w:r>
          </w:p>
        </w:tc>
        <w:tc>
          <w:tcPr>
            <w:tcW w:w="1559" w:type="dxa"/>
            <w:vAlign w:val="center"/>
          </w:tcPr>
          <w:p w:rsidRPr="00C6420E" w:rsidR="00182758" w:rsidP="00413F84" w:rsidRDefault="00182758">
            <w:pPr>
              <w:jc w:val="right"/>
              <w:rPr>
                <w:rFonts w:ascii="Arial" w:hAnsi="Arial" w:cs="Arial"/>
                <w:b/>
                <w:color w:val="000000"/>
              </w:rPr>
            </w:pPr>
            <w:r w:rsidRPr="00C6420E">
              <w:rPr>
                <w:rFonts w:ascii="Arial" w:hAnsi="Arial" w:cs="Arial"/>
                <w:b/>
                <w:color w:val="000000"/>
              </w:rPr>
              <w:t>Final NFF</w:t>
            </w:r>
          </w:p>
        </w:tc>
      </w:tr>
      <w:tr w:rsidRPr="00517AD6" w:rsidR="00182758" w:rsidTr="00F30DF9">
        <w:tc>
          <w:tcPr>
            <w:tcW w:w="2977" w:type="dxa"/>
          </w:tcPr>
          <w:p w:rsidRPr="00C6420E" w:rsidR="00182758" w:rsidP="00C428A5" w:rsidRDefault="00182758">
            <w:pPr>
              <w:rPr>
                <w:rFonts w:ascii="Arial" w:hAnsi="Arial" w:cs="Arial"/>
                <w:b/>
                <w:bCs/>
                <w:color w:val="000000"/>
              </w:rPr>
            </w:pPr>
          </w:p>
        </w:tc>
        <w:tc>
          <w:tcPr>
            <w:tcW w:w="3969" w:type="dxa"/>
            <w:vAlign w:val="bottom"/>
          </w:tcPr>
          <w:p w:rsidRPr="00C6420E" w:rsidR="00182758" w:rsidP="00C428A5" w:rsidRDefault="00182758">
            <w:pPr>
              <w:rPr>
                <w:rFonts w:ascii="Arial" w:hAnsi="Arial" w:cs="Arial"/>
                <w:b/>
                <w:bCs/>
                <w:color w:val="000000"/>
              </w:rPr>
            </w:pPr>
            <w:r w:rsidRPr="00C6420E">
              <w:rPr>
                <w:rFonts w:ascii="Arial" w:hAnsi="Arial" w:cs="Arial"/>
                <w:b/>
                <w:bCs/>
                <w:color w:val="000000"/>
              </w:rPr>
              <w:t> </w:t>
            </w:r>
          </w:p>
        </w:tc>
        <w:tc>
          <w:tcPr>
            <w:tcW w:w="1417" w:type="dxa"/>
            <w:vAlign w:val="bottom"/>
          </w:tcPr>
          <w:p w:rsidRPr="00C6420E" w:rsidR="00182758" w:rsidP="00C428A5" w:rsidRDefault="00182758">
            <w:pPr>
              <w:jc w:val="right"/>
              <w:rPr>
                <w:rFonts w:ascii="Arial" w:hAnsi="Arial" w:cs="Arial"/>
                <w:b/>
                <w:bCs/>
                <w:color w:val="000000"/>
              </w:rPr>
            </w:pPr>
            <w:r w:rsidRPr="00C6420E">
              <w:rPr>
                <w:rFonts w:ascii="Arial" w:hAnsi="Arial" w:cs="Arial"/>
                <w:b/>
                <w:bCs/>
                <w:color w:val="000000"/>
              </w:rPr>
              <w:t>£</w:t>
            </w:r>
          </w:p>
        </w:tc>
        <w:tc>
          <w:tcPr>
            <w:tcW w:w="1559" w:type="dxa"/>
            <w:vAlign w:val="bottom"/>
          </w:tcPr>
          <w:p w:rsidRPr="00C6420E" w:rsidR="00182758" w:rsidP="00C428A5" w:rsidRDefault="00182758">
            <w:pPr>
              <w:jc w:val="right"/>
              <w:rPr>
                <w:rFonts w:ascii="Arial" w:hAnsi="Arial" w:cs="Arial"/>
                <w:b/>
                <w:bCs/>
                <w:color w:val="000000"/>
              </w:rPr>
            </w:pPr>
            <w:r w:rsidRPr="00C6420E">
              <w:rPr>
                <w:rFonts w:ascii="Arial" w:hAnsi="Arial" w:cs="Arial"/>
                <w:b/>
                <w:bCs/>
                <w:color w:val="000000"/>
              </w:rPr>
              <w:t>£</w:t>
            </w:r>
          </w:p>
        </w:tc>
      </w:tr>
      <w:tr w:rsidRPr="00517AD6" w:rsidR="00182758" w:rsidTr="00F30DF9">
        <w:tc>
          <w:tcPr>
            <w:tcW w:w="2977" w:type="dxa"/>
            <w:vAlign w:val="center"/>
          </w:tcPr>
          <w:p w:rsidRPr="00C6420E" w:rsidR="00182758" w:rsidP="00C428A5" w:rsidRDefault="00182758">
            <w:pPr>
              <w:ind w:firstLine="220" w:firstLineChars="100"/>
              <w:jc w:val="center"/>
              <w:rPr>
                <w:rFonts w:ascii="Arial" w:hAnsi="Arial" w:cs="Arial"/>
                <w:color w:val="000000"/>
              </w:rPr>
            </w:pPr>
            <w:r w:rsidRPr="00C6420E">
              <w:rPr>
                <w:rFonts w:ascii="Arial" w:hAnsi="Arial" w:cs="Arial"/>
                <w:color w:val="000000"/>
              </w:rPr>
              <w:t>Basic per pupil funding</w:t>
            </w:r>
          </w:p>
        </w:tc>
        <w:tc>
          <w:tcPr>
            <w:tcW w:w="3969" w:type="dxa"/>
            <w:vAlign w:val="center"/>
          </w:tcPr>
          <w:p w:rsidRPr="00C6420E" w:rsidR="00182758" w:rsidP="00F30DF9" w:rsidRDefault="00182758">
            <w:pPr>
              <w:ind w:firstLine="33" w:firstLineChars="15"/>
              <w:rPr>
                <w:rFonts w:ascii="Arial" w:hAnsi="Arial" w:cs="Arial"/>
                <w:color w:val="000000"/>
              </w:rPr>
            </w:pPr>
            <w:r w:rsidRPr="00C6420E">
              <w:rPr>
                <w:rFonts w:ascii="Arial" w:hAnsi="Arial" w:cs="Arial"/>
                <w:color w:val="000000"/>
              </w:rPr>
              <w:t>AWPU – Key Stage 1 &amp; 2*</w:t>
            </w:r>
            <w:r w:rsidRPr="00C6420E">
              <w:rPr>
                <w:rFonts w:ascii="Arial" w:hAnsi="Arial" w:cs="Arial"/>
                <w:color w:val="000000"/>
                <w:vertAlign w:val="superscript"/>
              </w:rPr>
              <w:t>1</w:t>
            </w:r>
            <w:r w:rsidRPr="00C6420E">
              <w:rPr>
                <w:rFonts w:ascii="Arial" w:hAnsi="Arial" w:cs="Arial"/>
                <w:color w:val="000000"/>
              </w:rPr>
              <w:t xml:space="preserve"> </w:t>
            </w:r>
          </w:p>
        </w:tc>
        <w:tc>
          <w:tcPr>
            <w:tcW w:w="1417" w:type="dxa"/>
            <w:vAlign w:val="center"/>
          </w:tcPr>
          <w:p w:rsidRPr="00C6420E" w:rsidR="00182758" w:rsidP="00C428A5" w:rsidRDefault="00182758">
            <w:pPr>
              <w:jc w:val="right"/>
              <w:rPr>
                <w:rFonts w:ascii="Arial" w:hAnsi="Arial" w:cs="Arial"/>
                <w:color w:val="000000"/>
              </w:rPr>
            </w:pPr>
            <w:r w:rsidRPr="00C6420E">
              <w:rPr>
                <w:rFonts w:ascii="Arial" w:hAnsi="Arial" w:cs="Arial"/>
                <w:color w:val="000000"/>
              </w:rPr>
              <w:t>2,648</w:t>
            </w:r>
            <w:r w:rsidR="0040692B">
              <w:rPr>
                <w:rFonts w:ascii="Arial" w:hAnsi="Arial" w:cs="Arial"/>
                <w:color w:val="000000"/>
              </w:rPr>
              <w:t>.44</w:t>
            </w:r>
            <w:r w:rsidRPr="00C6420E">
              <w:rPr>
                <w:rFonts w:ascii="Arial" w:hAnsi="Arial" w:cs="Arial"/>
                <w:color w:val="000000"/>
              </w:rPr>
              <w:t xml:space="preserve"> </w:t>
            </w:r>
          </w:p>
        </w:tc>
        <w:tc>
          <w:tcPr>
            <w:tcW w:w="1559" w:type="dxa"/>
            <w:vAlign w:val="center"/>
          </w:tcPr>
          <w:p w:rsidRPr="00C6420E" w:rsidR="00182758" w:rsidP="0040692B" w:rsidRDefault="00182758">
            <w:pPr>
              <w:jc w:val="right"/>
              <w:rPr>
                <w:rFonts w:ascii="Arial" w:hAnsi="Arial" w:cs="Arial"/>
                <w:b/>
                <w:color w:val="FF0000"/>
              </w:rPr>
            </w:pPr>
            <w:r w:rsidRPr="00C6420E">
              <w:rPr>
                <w:rFonts w:ascii="Arial" w:hAnsi="Arial" w:cs="Arial"/>
                <w:b/>
                <w:color w:val="FF0000"/>
              </w:rPr>
              <w:t>2,74</w:t>
            </w:r>
            <w:r w:rsidR="0040692B">
              <w:rPr>
                <w:rFonts w:ascii="Arial" w:hAnsi="Arial" w:cs="Arial"/>
                <w:b/>
                <w:color w:val="FF0000"/>
              </w:rPr>
              <w:t>6.99</w:t>
            </w:r>
          </w:p>
        </w:tc>
      </w:tr>
      <w:tr w:rsidRPr="00517AD6" w:rsidR="00182758" w:rsidTr="00F30DF9">
        <w:tc>
          <w:tcPr>
            <w:tcW w:w="2977" w:type="dxa"/>
            <w:vMerge w:val="restart"/>
            <w:vAlign w:val="center"/>
          </w:tcPr>
          <w:p w:rsidRPr="00C6420E" w:rsidR="00182758" w:rsidP="00C428A5" w:rsidRDefault="00182758">
            <w:pPr>
              <w:ind w:firstLine="220" w:firstLineChars="100"/>
              <w:jc w:val="center"/>
              <w:rPr>
                <w:rFonts w:ascii="Arial" w:hAnsi="Arial" w:cs="Arial"/>
                <w:color w:val="000000"/>
              </w:rPr>
            </w:pPr>
            <w:r w:rsidRPr="00C6420E">
              <w:rPr>
                <w:rFonts w:ascii="Arial" w:hAnsi="Arial" w:cs="Arial"/>
                <w:color w:val="000000"/>
              </w:rPr>
              <w:t>Additional needs funding</w:t>
            </w:r>
          </w:p>
        </w:tc>
        <w:tc>
          <w:tcPr>
            <w:tcW w:w="3969" w:type="dxa"/>
            <w:vMerge w:val="restart"/>
            <w:vAlign w:val="bottom"/>
          </w:tcPr>
          <w:p w:rsidRPr="00C6420E" w:rsidR="00182758" w:rsidP="00F30DF9" w:rsidRDefault="00182758">
            <w:pPr>
              <w:ind w:firstLine="33" w:firstLineChars="15"/>
              <w:rPr>
                <w:rFonts w:ascii="Arial" w:hAnsi="Arial" w:cs="Arial"/>
                <w:color w:val="000000"/>
              </w:rPr>
            </w:pPr>
            <w:r w:rsidRPr="00C6420E">
              <w:rPr>
                <w:rFonts w:ascii="Arial" w:hAnsi="Arial" w:cs="Arial"/>
                <w:color w:val="000000"/>
              </w:rPr>
              <w:t>Deprivation: Ever 6 FSM</w:t>
            </w:r>
          </w:p>
          <w:p w:rsidRPr="00C6420E" w:rsidR="00182758" w:rsidP="00F30DF9" w:rsidRDefault="00182758">
            <w:pPr>
              <w:ind w:firstLine="33" w:firstLineChars="15"/>
              <w:rPr>
                <w:rFonts w:ascii="Arial" w:hAnsi="Arial" w:cs="Arial"/>
                <w:color w:val="000000"/>
              </w:rPr>
            </w:pPr>
            <w:r w:rsidRPr="00C6420E">
              <w:rPr>
                <w:rFonts w:ascii="Arial" w:hAnsi="Arial" w:cs="Arial"/>
                <w:color w:val="000000"/>
              </w:rPr>
              <w:t>Deprivation: Current FSM</w:t>
            </w:r>
          </w:p>
        </w:tc>
        <w:tc>
          <w:tcPr>
            <w:tcW w:w="1417" w:type="dxa"/>
            <w:vAlign w:val="bottom"/>
          </w:tcPr>
          <w:p w:rsidRPr="00C6420E" w:rsidR="00182758" w:rsidP="0040692B" w:rsidRDefault="00182758">
            <w:pPr>
              <w:jc w:val="right"/>
              <w:rPr>
                <w:rFonts w:ascii="Arial" w:hAnsi="Arial" w:cs="Arial"/>
                <w:color w:val="000000"/>
              </w:rPr>
            </w:pPr>
            <w:r w:rsidRPr="00C6420E">
              <w:rPr>
                <w:rFonts w:ascii="Arial" w:hAnsi="Arial" w:cs="Arial"/>
                <w:color w:val="000000"/>
              </w:rPr>
              <w:t>1,47</w:t>
            </w:r>
            <w:r w:rsidR="0040692B">
              <w:rPr>
                <w:rFonts w:ascii="Arial" w:hAnsi="Arial" w:cs="Arial"/>
                <w:color w:val="000000"/>
              </w:rPr>
              <w:t>2.53</w:t>
            </w:r>
          </w:p>
        </w:tc>
        <w:tc>
          <w:tcPr>
            <w:tcW w:w="1559" w:type="dxa"/>
            <w:vAlign w:val="bottom"/>
          </w:tcPr>
          <w:p w:rsidRPr="00C6420E" w:rsidR="00182758" w:rsidP="00C428A5" w:rsidRDefault="00321C3F">
            <w:pPr>
              <w:jc w:val="right"/>
              <w:rPr>
                <w:rFonts w:ascii="Arial" w:hAnsi="Arial" w:cs="Arial"/>
                <w:color w:val="000000"/>
              </w:rPr>
            </w:pPr>
            <w:r w:rsidRPr="00C6420E">
              <w:rPr>
                <w:rFonts w:ascii="Arial" w:hAnsi="Arial" w:cs="Arial"/>
                <w:noProof/>
                <w:color w:val="000000"/>
                <w:lang w:eastAsia="en-GB"/>
              </w:rPr>
              <mc:AlternateContent>
                <mc:Choice Requires="wps">
                  <w:drawing>
                    <wp:anchor distT="0" distB="0" distL="114300" distR="114300" simplePos="0" relativeHeight="251665408" behindDoc="0" locked="0" layoutInCell="1" allowOverlap="1" wp14:editId="261509F1" wp14:anchorId="5F56F580">
                      <wp:simplePos x="0" y="0"/>
                      <wp:positionH relativeFrom="column">
                        <wp:posOffset>112395</wp:posOffset>
                      </wp:positionH>
                      <wp:positionV relativeFrom="paragraph">
                        <wp:posOffset>22860</wp:posOffset>
                      </wp:positionV>
                      <wp:extent cx="356235" cy="4032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403225"/>
                              </a:xfrm>
                              <a:prstGeom prst="rect">
                                <a:avLst/>
                              </a:prstGeom>
                              <a:noFill/>
                              <a:ln w="9525">
                                <a:noFill/>
                                <a:miter lim="800000"/>
                                <a:headEnd/>
                                <a:tailEnd/>
                              </a:ln>
                            </wps:spPr>
                            <wps:txbx>
                              <w:txbxContent>
                                <w:p w:rsidRPr="00484CF9" w:rsidR="001221FC" w:rsidP="00413F84" w:rsidRDefault="001221FC">
                                  <w:pPr>
                                    <w:jc w:val="right"/>
                                    <w:rPr>
                                      <w:rFonts w:ascii="Arial" w:hAnsi="Arial" w:cs="Arial"/>
                                      <w:b/>
                                    </w:rPr>
                                  </w:pPr>
                                  <w:r w:rsidRPr="00484CF9">
                                    <w:rPr>
                                      <w:rFonts w:ascii="Arial" w:hAnsi="Arial" w:cs="Arial"/>
                                      <w:b/>
                                    </w:rPr>
                                    <w: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F56F580">
                      <v:stroke joinstyle="miter"/>
                      <v:path gradientshapeok="t" o:connecttype="rect"/>
                    </v:shapetype>
                    <v:shape id="Text Box 2" style="position:absolute;left:0;text-align:left;margin-left:8.85pt;margin-top:1.8pt;width:28.05pt;height: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">
                      <v:textbox>
                        <w:txbxContent>
                          <w:p w:rsidRPr="00484CF9" w:rsidR="001221FC" w:rsidP="00413F84" w:rsidRDefault="001221FC">
                            <w:pPr>
                              <w:jc w:val="right"/>
                              <w:rPr>
                                <w:rFonts w:ascii="Arial" w:hAnsi="Arial" w:cs="Arial"/>
                                <w:b/>
                              </w:rPr>
                            </w:pPr>
                            <w:r w:rsidRPr="00484CF9">
                              <w:rPr>
                                <w:rFonts w:ascii="Arial" w:hAnsi="Arial" w:cs="Arial"/>
                                <w:b/>
                              </w:rPr>
                              <w:t>Or</w:t>
                            </w:r>
                          </w:p>
                        </w:txbxContent>
                      </v:textbox>
                    </v:shape>
                  </w:pict>
                </mc:Fallback>
              </mc:AlternateContent>
            </w:r>
            <w:r w:rsidRPr="00C6420E" w:rsidR="00182758">
              <w:rPr>
                <w:rFonts w:ascii="Arial" w:hAnsi="Arial" w:cs="Arial"/>
                <w:color w:val="000000"/>
              </w:rPr>
              <w:t>540</w:t>
            </w:r>
            <w:r w:rsidR="0040692B">
              <w:rPr>
                <w:rFonts w:ascii="Arial" w:hAnsi="Arial" w:cs="Arial"/>
                <w:color w:val="000000"/>
              </w:rPr>
              <w:t>.00</w:t>
            </w:r>
          </w:p>
        </w:tc>
      </w:tr>
      <w:tr w:rsidRPr="00517AD6" w:rsidR="00182758" w:rsidTr="00F30DF9">
        <w:trPr>
          <w:trHeight w:val="265"/>
        </w:trPr>
        <w:tc>
          <w:tcPr>
            <w:tcW w:w="2977" w:type="dxa"/>
            <w:vMerge/>
          </w:tcPr>
          <w:p w:rsidRPr="00C6420E" w:rsidR="00182758" w:rsidP="00C428A5" w:rsidRDefault="00182758">
            <w:pPr>
              <w:ind w:firstLine="220" w:firstLineChars="100"/>
              <w:rPr>
                <w:rFonts w:ascii="Arial" w:hAnsi="Arial" w:cs="Arial"/>
                <w:color w:val="000000"/>
              </w:rPr>
            </w:pPr>
          </w:p>
        </w:tc>
        <w:tc>
          <w:tcPr>
            <w:tcW w:w="3969" w:type="dxa"/>
            <w:vMerge/>
            <w:vAlign w:val="bottom"/>
          </w:tcPr>
          <w:p w:rsidRPr="00C6420E" w:rsidR="00182758" w:rsidP="00F30DF9" w:rsidRDefault="00182758">
            <w:pPr>
              <w:ind w:firstLine="33" w:firstLineChars="15"/>
              <w:rPr>
                <w:rFonts w:ascii="Arial" w:hAnsi="Arial" w:cs="Arial"/>
                <w:color w:val="000000"/>
              </w:rPr>
            </w:pPr>
          </w:p>
        </w:tc>
        <w:tc>
          <w:tcPr>
            <w:tcW w:w="1417"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w:t>
            </w:r>
          </w:p>
        </w:tc>
        <w:tc>
          <w:tcPr>
            <w:tcW w:w="1559" w:type="dxa"/>
            <w:vAlign w:val="center"/>
          </w:tcPr>
          <w:p w:rsidRPr="00C6420E" w:rsidR="00182758" w:rsidP="00C428A5" w:rsidRDefault="00182758">
            <w:pPr>
              <w:jc w:val="right"/>
              <w:rPr>
                <w:rFonts w:ascii="Arial" w:hAnsi="Arial" w:cs="Arial"/>
                <w:color w:val="000000"/>
              </w:rPr>
            </w:pPr>
            <w:r w:rsidRPr="00C6420E">
              <w:rPr>
                <w:rFonts w:ascii="Arial" w:hAnsi="Arial" w:cs="Arial"/>
                <w:color w:val="000000"/>
              </w:rPr>
              <w:t>980</w:t>
            </w:r>
            <w:r w:rsidR="0040692B">
              <w:rPr>
                <w:rFonts w:ascii="Arial" w:hAnsi="Arial" w:cs="Arial"/>
                <w:color w:val="000000"/>
              </w:rPr>
              <w:t>.00</w:t>
            </w:r>
          </w:p>
        </w:tc>
      </w:tr>
      <w:tr w:rsidRPr="00517AD6" w:rsidR="00182758" w:rsidTr="00F30DF9">
        <w:tc>
          <w:tcPr>
            <w:tcW w:w="2977" w:type="dxa"/>
            <w:vMerge/>
          </w:tcPr>
          <w:p w:rsidRPr="00C6420E" w:rsidR="00182758" w:rsidP="00C428A5" w:rsidRDefault="00182758">
            <w:pPr>
              <w:ind w:firstLine="220" w:firstLineChars="100"/>
              <w:rPr>
                <w:rFonts w:ascii="Arial" w:hAnsi="Arial" w:cs="Arial"/>
                <w:color w:val="000000"/>
              </w:rPr>
            </w:pPr>
          </w:p>
        </w:tc>
        <w:tc>
          <w:tcPr>
            <w:tcW w:w="3969" w:type="dxa"/>
            <w:vAlign w:val="bottom"/>
          </w:tcPr>
          <w:p w:rsidRPr="00C6420E" w:rsidR="00182758" w:rsidP="00F30DF9" w:rsidRDefault="00182758">
            <w:pPr>
              <w:ind w:firstLine="33" w:firstLineChars="15"/>
              <w:rPr>
                <w:rFonts w:ascii="Arial" w:hAnsi="Arial" w:cs="Arial"/>
                <w:color w:val="000000"/>
              </w:rPr>
            </w:pPr>
            <w:r w:rsidRPr="00C6420E">
              <w:rPr>
                <w:rFonts w:ascii="Arial" w:hAnsi="Arial" w:cs="Arial"/>
                <w:color w:val="000000"/>
              </w:rPr>
              <w:t>Deprivation: IDACI A</w:t>
            </w:r>
          </w:p>
        </w:tc>
        <w:tc>
          <w:tcPr>
            <w:tcW w:w="1417"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w:t>
            </w:r>
          </w:p>
        </w:tc>
        <w:tc>
          <w:tcPr>
            <w:tcW w:w="1559" w:type="dxa"/>
            <w:vAlign w:val="center"/>
          </w:tcPr>
          <w:p w:rsidRPr="00C6420E" w:rsidR="00182758" w:rsidP="00C428A5" w:rsidRDefault="00182758">
            <w:pPr>
              <w:jc w:val="right"/>
              <w:rPr>
                <w:rFonts w:ascii="Arial" w:hAnsi="Arial" w:cs="Arial"/>
                <w:color w:val="000000"/>
              </w:rPr>
            </w:pPr>
            <w:r w:rsidRPr="00C6420E">
              <w:rPr>
                <w:rFonts w:ascii="Arial" w:hAnsi="Arial" w:cs="Arial"/>
                <w:color w:val="000000"/>
              </w:rPr>
              <w:t>575</w:t>
            </w:r>
            <w:r w:rsidR="0040692B">
              <w:rPr>
                <w:rFonts w:ascii="Arial" w:hAnsi="Arial" w:cs="Arial"/>
                <w:color w:val="000000"/>
              </w:rPr>
              <w:t>.00</w:t>
            </w:r>
          </w:p>
        </w:tc>
      </w:tr>
      <w:tr w:rsidRPr="00517AD6" w:rsidR="00182758" w:rsidTr="00F30DF9">
        <w:tc>
          <w:tcPr>
            <w:tcW w:w="2977" w:type="dxa"/>
            <w:vMerge/>
          </w:tcPr>
          <w:p w:rsidRPr="00C6420E" w:rsidR="00182758" w:rsidP="00C428A5" w:rsidRDefault="00182758">
            <w:pPr>
              <w:ind w:firstLine="220" w:firstLineChars="100"/>
              <w:rPr>
                <w:rFonts w:ascii="Arial" w:hAnsi="Arial" w:cs="Arial"/>
                <w:color w:val="000000"/>
              </w:rPr>
            </w:pPr>
          </w:p>
        </w:tc>
        <w:tc>
          <w:tcPr>
            <w:tcW w:w="3969" w:type="dxa"/>
            <w:vAlign w:val="bottom"/>
          </w:tcPr>
          <w:p w:rsidRPr="00C6420E" w:rsidR="00182758" w:rsidP="00F30DF9" w:rsidRDefault="00182758">
            <w:pPr>
              <w:ind w:firstLine="33" w:firstLineChars="15"/>
              <w:rPr>
                <w:rFonts w:ascii="Arial" w:hAnsi="Arial" w:cs="Arial"/>
                <w:color w:val="000000"/>
              </w:rPr>
            </w:pPr>
            <w:r w:rsidRPr="00C6420E">
              <w:rPr>
                <w:rFonts w:ascii="Arial" w:hAnsi="Arial" w:cs="Arial"/>
                <w:color w:val="000000"/>
              </w:rPr>
              <w:t>Deprivation: IDACI B</w:t>
            </w:r>
          </w:p>
        </w:tc>
        <w:tc>
          <w:tcPr>
            <w:tcW w:w="1417"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420</w:t>
            </w:r>
            <w:r w:rsidR="0040692B">
              <w:rPr>
                <w:rFonts w:ascii="Arial" w:hAnsi="Arial" w:cs="Arial"/>
                <w:color w:val="000000"/>
              </w:rPr>
              <w:t>.00</w:t>
            </w:r>
          </w:p>
        </w:tc>
      </w:tr>
      <w:tr w:rsidRPr="00517AD6" w:rsidR="00182758" w:rsidTr="00F30DF9">
        <w:tc>
          <w:tcPr>
            <w:tcW w:w="2977" w:type="dxa"/>
            <w:vMerge/>
          </w:tcPr>
          <w:p w:rsidRPr="00C6420E" w:rsidR="00182758" w:rsidP="00C428A5" w:rsidRDefault="00182758">
            <w:pPr>
              <w:ind w:firstLine="220" w:firstLineChars="100"/>
              <w:rPr>
                <w:rFonts w:ascii="Arial" w:hAnsi="Arial" w:cs="Arial"/>
                <w:color w:val="000000"/>
              </w:rPr>
            </w:pPr>
          </w:p>
        </w:tc>
        <w:tc>
          <w:tcPr>
            <w:tcW w:w="3969" w:type="dxa"/>
            <w:vAlign w:val="bottom"/>
          </w:tcPr>
          <w:p w:rsidRPr="00C6420E" w:rsidR="00182758" w:rsidP="00F30DF9" w:rsidRDefault="00182758">
            <w:pPr>
              <w:ind w:firstLine="33" w:firstLineChars="15"/>
              <w:rPr>
                <w:rFonts w:ascii="Arial" w:hAnsi="Arial" w:cs="Arial"/>
                <w:color w:val="000000"/>
              </w:rPr>
            </w:pPr>
            <w:r w:rsidRPr="00C6420E">
              <w:rPr>
                <w:rFonts w:ascii="Arial" w:hAnsi="Arial" w:cs="Arial"/>
                <w:color w:val="000000"/>
              </w:rPr>
              <w:t>Deprivation: IDACI C</w:t>
            </w:r>
          </w:p>
        </w:tc>
        <w:tc>
          <w:tcPr>
            <w:tcW w:w="1417"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w:t>
            </w:r>
          </w:p>
        </w:tc>
        <w:tc>
          <w:tcPr>
            <w:tcW w:w="1559" w:type="dxa"/>
          </w:tcPr>
          <w:p w:rsidRPr="00C6420E" w:rsidR="00182758" w:rsidP="00C428A5" w:rsidRDefault="00182758">
            <w:pPr>
              <w:jc w:val="right"/>
              <w:rPr>
                <w:rFonts w:ascii="Arial" w:hAnsi="Arial" w:cs="Arial"/>
                <w:b/>
                <w:color w:val="FF0000"/>
              </w:rPr>
            </w:pPr>
            <w:r w:rsidRPr="00C6420E">
              <w:rPr>
                <w:rFonts w:ascii="Arial" w:hAnsi="Arial" w:cs="Arial"/>
                <w:b/>
                <w:color w:val="FF0000"/>
              </w:rPr>
              <w:t>390</w:t>
            </w:r>
            <w:r w:rsidR="0040692B">
              <w:rPr>
                <w:rFonts w:ascii="Arial" w:hAnsi="Arial" w:cs="Arial"/>
                <w:b/>
                <w:color w:val="FF0000"/>
              </w:rPr>
              <w:t>.00</w:t>
            </w:r>
          </w:p>
        </w:tc>
      </w:tr>
      <w:tr w:rsidRPr="00517AD6" w:rsidR="00182758" w:rsidTr="00F30DF9">
        <w:tc>
          <w:tcPr>
            <w:tcW w:w="2977" w:type="dxa"/>
            <w:vMerge/>
          </w:tcPr>
          <w:p w:rsidRPr="00C6420E" w:rsidR="00182758" w:rsidP="00C428A5" w:rsidRDefault="00182758">
            <w:pPr>
              <w:ind w:firstLine="220" w:firstLineChars="100"/>
              <w:rPr>
                <w:rFonts w:ascii="Arial" w:hAnsi="Arial" w:cs="Arial"/>
                <w:color w:val="000000"/>
              </w:rPr>
            </w:pPr>
          </w:p>
        </w:tc>
        <w:tc>
          <w:tcPr>
            <w:tcW w:w="3969" w:type="dxa"/>
            <w:vAlign w:val="bottom"/>
          </w:tcPr>
          <w:p w:rsidRPr="00C6420E" w:rsidR="00182758" w:rsidP="00F30DF9" w:rsidRDefault="00182758">
            <w:pPr>
              <w:ind w:firstLine="33" w:firstLineChars="15"/>
              <w:rPr>
                <w:rFonts w:ascii="Arial" w:hAnsi="Arial" w:cs="Arial"/>
                <w:color w:val="000000"/>
              </w:rPr>
            </w:pPr>
            <w:r w:rsidRPr="00C6420E">
              <w:rPr>
                <w:rFonts w:ascii="Arial" w:hAnsi="Arial" w:cs="Arial"/>
                <w:color w:val="000000"/>
              </w:rPr>
              <w:t>Deprivation: IDACI D</w:t>
            </w:r>
          </w:p>
        </w:tc>
        <w:tc>
          <w:tcPr>
            <w:tcW w:w="1417"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360</w:t>
            </w:r>
            <w:r w:rsidR="0040692B">
              <w:rPr>
                <w:rFonts w:ascii="Arial" w:hAnsi="Arial" w:cs="Arial"/>
                <w:color w:val="000000"/>
              </w:rPr>
              <w:t>.00</w:t>
            </w:r>
          </w:p>
        </w:tc>
      </w:tr>
      <w:tr w:rsidRPr="00517AD6" w:rsidR="00182758" w:rsidTr="00F30DF9">
        <w:tc>
          <w:tcPr>
            <w:tcW w:w="2977" w:type="dxa"/>
            <w:vMerge/>
          </w:tcPr>
          <w:p w:rsidRPr="00C6420E" w:rsidR="00182758" w:rsidP="00C428A5" w:rsidRDefault="00182758">
            <w:pPr>
              <w:ind w:firstLine="220" w:firstLineChars="100"/>
              <w:rPr>
                <w:rFonts w:ascii="Arial" w:hAnsi="Arial" w:cs="Arial"/>
                <w:color w:val="000000"/>
              </w:rPr>
            </w:pPr>
          </w:p>
        </w:tc>
        <w:tc>
          <w:tcPr>
            <w:tcW w:w="3969" w:type="dxa"/>
            <w:vAlign w:val="bottom"/>
          </w:tcPr>
          <w:p w:rsidRPr="00C6420E" w:rsidR="00182758" w:rsidP="00F30DF9" w:rsidRDefault="00182758">
            <w:pPr>
              <w:ind w:firstLine="33" w:firstLineChars="15"/>
              <w:rPr>
                <w:rFonts w:ascii="Arial" w:hAnsi="Arial" w:cs="Arial"/>
                <w:color w:val="000000"/>
              </w:rPr>
            </w:pPr>
            <w:r w:rsidRPr="00C6420E">
              <w:rPr>
                <w:rFonts w:ascii="Arial" w:hAnsi="Arial" w:cs="Arial"/>
                <w:color w:val="000000"/>
              </w:rPr>
              <w:t>Deprivation: IDACI E</w:t>
            </w:r>
          </w:p>
        </w:tc>
        <w:tc>
          <w:tcPr>
            <w:tcW w:w="1417"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240</w:t>
            </w:r>
            <w:r w:rsidR="0040692B">
              <w:rPr>
                <w:rFonts w:ascii="Arial" w:hAnsi="Arial" w:cs="Arial"/>
                <w:color w:val="000000"/>
              </w:rPr>
              <w:t>.00</w:t>
            </w:r>
          </w:p>
        </w:tc>
      </w:tr>
      <w:tr w:rsidRPr="00517AD6" w:rsidR="00182758" w:rsidTr="00F30DF9">
        <w:tc>
          <w:tcPr>
            <w:tcW w:w="2977" w:type="dxa"/>
            <w:vMerge/>
          </w:tcPr>
          <w:p w:rsidRPr="00C6420E" w:rsidR="00182758" w:rsidP="00C428A5" w:rsidRDefault="00182758">
            <w:pPr>
              <w:ind w:firstLine="220" w:firstLineChars="100"/>
              <w:rPr>
                <w:rFonts w:ascii="Arial" w:hAnsi="Arial" w:cs="Arial"/>
                <w:color w:val="000000"/>
              </w:rPr>
            </w:pPr>
          </w:p>
        </w:tc>
        <w:tc>
          <w:tcPr>
            <w:tcW w:w="3969" w:type="dxa"/>
            <w:vAlign w:val="bottom"/>
          </w:tcPr>
          <w:p w:rsidRPr="00C6420E" w:rsidR="00182758" w:rsidP="00F30DF9" w:rsidRDefault="00182758">
            <w:pPr>
              <w:ind w:firstLine="33" w:firstLineChars="15"/>
              <w:rPr>
                <w:rFonts w:ascii="Arial" w:hAnsi="Arial" w:cs="Arial"/>
                <w:color w:val="000000"/>
              </w:rPr>
            </w:pPr>
            <w:r w:rsidRPr="00C6420E">
              <w:rPr>
                <w:rFonts w:ascii="Arial" w:hAnsi="Arial" w:cs="Arial"/>
                <w:color w:val="000000"/>
              </w:rPr>
              <w:t>Deprivation: IDACI F</w:t>
            </w:r>
          </w:p>
        </w:tc>
        <w:tc>
          <w:tcPr>
            <w:tcW w:w="1417"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200</w:t>
            </w:r>
            <w:r w:rsidR="0040692B">
              <w:rPr>
                <w:rFonts w:ascii="Arial" w:hAnsi="Arial" w:cs="Arial"/>
                <w:color w:val="000000"/>
              </w:rPr>
              <w:t>.00</w:t>
            </w:r>
          </w:p>
        </w:tc>
      </w:tr>
      <w:tr w:rsidRPr="00517AD6" w:rsidR="00182758" w:rsidTr="00F30DF9">
        <w:tc>
          <w:tcPr>
            <w:tcW w:w="2977" w:type="dxa"/>
            <w:vMerge/>
          </w:tcPr>
          <w:p w:rsidRPr="00C6420E" w:rsidR="00182758" w:rsidP="00C428A5" w:rsidRDefault="00182758">
            <w:pPr>
              <w:ind w:firstLine="220" w:firstLineChars="100"/>
              <w:rPr>
                <w:rFonts w:ascii="Arial" w:hAnsi="Arial" w:cs="Arial"/>
                <w:color w:val="000000"/>
              </w:rPr>
            </w:pPr>
          </w:p>
        </w:tc>
        <w:tc>
          <w:tcPr>
            <w:tcW w:w="3969" w:type="dxa"/>
            <w:vAlign w:val="bottom"/>
          </w:tcPr>
          <w:p w:rsidRPr="00C6420E" w:rsidR="00182758" w:rsidP="00F30DF9" w:rsidRDefault="00F30DF9">
            <w:pPr>
              <w:ind w:firstLine="33" w:firstLineChars="15"/>
              <w:rPr>
                <w:rFonts w:ascii="Arial" w:hAnsi="Arial" w:cs="Arial"/>
                <w:color w:val="000000"/>
              </w:rPr>
            </w:pPr>
            <w:r>
              <w:rPr>
                <w:rFonts w:ascii="Arial" w:hAnsi="Arial" w:cs="Arial"/>
                <w:color w:val="000000"/>
              </w:rPr>
              <w:t xml:space="preserve">Low </w:t>
            </w:r>
            <w:r w:rsidRPr="00C6420E">
              <w:rPr>
                <w:rFonts w:ascii="Arial" w:hAnsi="Arial" w:cs="Arial"/>
                <w:color w:val="000000"/>
              </w:rPr>
              <w:t xml:space="preserve">Prior </w:t>
            </w:r>
            <w:r>
              <w:rPr>
                <w:rFonts w:ascii="Arial" w:hAnsi="Arial" w:cs="Arial"/>
                <w:color w:val="000000"/>
              </w:rPr>
              <w:t>A</w:t>
            </w:r>
            <w:r w:rsidRPr="00C6420E">
              <w:rPr>
                <w:rFonts w:ascii="Arial" w:hAnsi="Arial" w:cs="Arial"/>
                <w:color w:val="000000"/>
              </w:rPr>
              <w:t>ttainment</w:t>
            </w:r>
            <w:r>
              <w:rPr>
                <w:rFonts w:ascii="Arial" w:hAnsi="Arial" w:cs="Arial"/>
                <w:color w:val="000000"/>
              </w:rPr>
              <w:t xml:space="preserve"> &lt;73/assessment</w:t>
            </w:r>
          </w:p>
        </w:tc>
        <w:tc>
          <w:tcPr>
            <w:tcW w:w="1417" w:type="dxa"/>
            <w:vAlign w:val="bottom"/>
          </w:tcPr>
          <w:p w:rsidRPr="00C6420E" w:rsidR="00182758" w:rsidP="00C428A5" w:rsidRDefault="00182758">
            <w:pPr>
              <w:jc w:val="right"/>
              <w:rPr>
                <w:rFonts w:ascii="Arial" w:hAnsi="Arial" w:cs="Arial"/>
                <w:color w:val="000000"/>
              </w:rPr>
            </w:pPr>
            <w:r w:rsidRPr="00C6420E">
              <w:rPr>
                <w:rFonts w:ascii="Arial" w:hAnsi="Arial" w:cs="Arial"/>
                <w:color w:val="000000"/>
              </w:rPr>
              <w:t>161</w:t>
            </w:r>
            <w:r w:rsidR="0040692B">
              <w:rPr>
                <w:rFonts w:ascii="Arial" w:hAnsi="Arial" w:cs="Arial"/>
                <w:color w:val="000000"/>
              </w:rPr>
              <w:t>.29</w:t>
            </w:r>
          </w:p>
        </w:tc>
        <w:tc>
          <w:tcPr>
            <w:tcW w:w="1559" w:type="dxa"/>
            <w:vAlign w:val="bottom"/>
          </w:tcPr>
          <w:p w:rsidRPr="00C6420E" w:rsidR="00182758" w:rsidP="00C428A5" w:rsidRDefault="00BF6F47">
            <w:pPr>
              <w:jc w:val="right"/>
              <w:rPr>
                <w:rFonts w:ascii="Arial" w:hAnsi="Arial" w:cs="Arial"/>
                <w:color w:val="000000"/>
              </w:rPr>
            </w:pPr>
            <w:r>
              <w:rPr>
                <w:rFonts w:ascii="Arial" w:hAnsi="Arial" w:cs="Arial"/>
                <w:color w:val="000000"/>
              </w:rPr>
              <w:t>-</w:t>
            </w:r>
          </w:p>
        </w:tc>
      </w:tr>
      <w:tr w:rsidRPr="00517AD6" w:rsidR="00BF6F47" w:rsidTr="00F30DF9">
        <w:tc>
          <w:tcPr>
            <w:tcW w:w="2977" w:type="dxa"/>
            <w:vMerge/>
          </w:tcPr>
          <w:p w:rsidRPr="00C6420E" w:rsidR="00BF6F47" w:rsidP="00BF6F47" w:rsidRDefault="00BF6F47">
            <w:pPr>
              <w:ind w:firstLine="220" w:firstLineChars="100"/>
              <w:rPr>
                <w:rFonts w:ascii="Arial" w:hAnsi="Arial" w:cs="Arial"/>
                <w:color w:val="000000"/>
              </w:rPr>
            </w:pPr>
          </w:p>
        </w:tc>
        <w:tc>
          <w:tcPr>
            <w:tcW w:w="3969" w:type="dxa"/>
            <w:vAlign w:val="bottom"/>
          </w:tcPr>
          <w:p w:rsidRPr="00C6420E" w:rsidR="00BF6F47" w:rsidP="00F30DF9" w:rsidRDefault="00F30DF9">
            <w:pPr>
              <w:ind w:firstLine="33" w:firstLineChars="15"/>
              <w:rPr>
                <w:rFonts w:ascii="Arial" w:hAnsi="Arial" w:cs="Arial"/>
                <w:color w:val="000000"/>
              </w:rPr>
            </w:pPr>
            <w:r>
              <w:rPr>
                <w:rFonts w:ascii="Arial" w:hAnsi="Arial" w:cs="Arial"/>
                <w:color w:val="000000"/>
              </w:rPr>
              <w:t xml:space="preserve">Low </w:t>
            </w:r>
            <w:r w:rsidRPr="00C6420E" w:rsidR="00BF6F47">
              <w:rPr>
                <w:rFonts w:ascii="Arial" w:hAnsi="Arial" w:cs="Arial"/>
                <w:color w:val="000000"/>
              </w:rPr>
              <w:t xml:space="preserve">Prior </w:t>
            </w:r>
            <w:r>
              <w:rPr>
                <w:rFonts w:ascii="Arial" w:hAnsi="Arial" w:cs="Arial"/>
                <w:color w:val="000000"/>
              </w:rPr>
              <w:t>A</w:t>
            </w:r>
            <w:r w:rsidRPr="00C6420E" w:rsidR="00BF6F47">
              <w:rPr>
                <w:rFonts w:ascii="Arial" w:hAnsi="Arial" w:cs="Arial"/>
                <w:color w:val="000000"/>
              </w:rPr>
              <w:t>ttainment</w:t>
            </w:r>
            <w:r w:rsidR="00BF6F47">
              <w:rPr>
                <w:rFonts w:ascii="Arial" w:hAnsi="Arial" w:cs="Arial"/>
                <w:color w:val="000000"/>
              </w:rPr>
              <w:t xml:space="preserve"> &lt;78/assessment</w:t>
            </w:r>
          </w:p>
        </w:tc>
        <w:tc>
          <w:tcPr>
            <w:tcW w:w="1417" w:type="dxa"/>
            <w:vAlign w:val="bottom"/>
          </w:tcPr>
          <w:p w:rsidRPr="00C6420E" w:rsidR="00BF6F47" w:rsidP="00BF6F47" w:rsidRDefault="00BF6F47">
            <w:pPr>
              <w:jc w:val="right"/>
              <w:rPr>
                <w:rFonts w:ascii="Arial" w:hAnsi="Arial" w:cs="Arial"/>
                <w:color w:val="000000"/>
              </w:rPr>
            </w:pPr>
            <w:r>
              <w:rPr>
                <w:rFonts w:ascii="Arial" w:hAnsi="Arial" w:cs="Arial"/>
                <w:color w:val="000000"/>
              </w:rPr>
              <w:t>-</w:t>
            </w:r>
          </w:p>
        </w:tc>
        <w:tc>
          <w:tcPr>
            <w:tcW w:w="1559" w:type="dxa"/>
            <w:vAlign w:val="bottom"/>
          </w:tcPr>
          <w:p w:rsidR="00BF6F47" w:rsidP="00BF6F47" w:rsidRDefault="00BF6F47">
            <w:pPr>
              <w:jc w:val="right"/>
              <w:rPr>
                <w:rFonts w:ascii="Arial" w:hAnsi="Arial" w:cs="Arial"/>
                <w:color w:val="000000"/>
              </w:rPr>
            </w:pPr>
            <w:r w:rsidRPr="00C6420E">
              <w:rPr>
                <w:rFonts w:ascii="Arial" w:hAnsi="Arial" w:cs="Arial"/>
                <w:color w:val="000000"/>
              </w:rPr>
              <w:t>1,050</w:t>
            </w:r>
            <w:r w:rsidR="0040692B">
              <w:rPr>
                <w:rFonts w:ascii="Arial" w:hAnsi="Arial" w:cs="Arial"/>
                <w:color w:val="000000"/>
              </w:rPr>
              <w:t>.00</w:t>
            </w:r>
          </w:p>
        </w:tc>
      </w:tr>
      <w:tr w:rsidRPr="00517AD6" w:rsidR="00BF6F47" w:rsidTr="00F30DF9">
        <w:tc>
          <w:tcPr>
            <w:tcW w:w="2977" w:type="dxa"/>
            <w:vMerge/>
          </w:tcPr>
          <w:p w:rsidRPr="00C6420E" w:rsidR="00BF6F47" w:rsidP="00BF6F47" w:rsidRDefault="00BF6F47">
            <w:pPr>
              <w:ind w:firstLine="220" w:firstLineChars="100"/>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Pr>
                <w:rFonts w:ascii="Arial" w:hAnsi="Arial" w:cs="Arial"/>
                <w:color w:val="000000"/>
              </w:rPr>
              <w:t>EAL1</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356</w:t>
            </w:r>
            <w:r w:rsidR="0040692B">
              <w:rPr>
                <w:rFonts w:ascii="Arial" w:hAnsi="Arial" w:cs="Arial"/>
                <w:color w:val="000000"/>
              </w:rPr>
              <w:t>.32</w:t>
            </w:r>
          </w:p>
        </w:tc>
        <w:tc>
          <w:tcPr>
            <w:tcW w:w="1559" w:type="dxa"/>
            <w:vAlign w:val="bottom"/>
          </w:tcPr>
          <w:p w:rsidRPr="00C6420E" w:rsidR="00BF6F47" w:rsidP="00BF6F47" w:rsidRDefault="00BF6F47">
            <w:pPr>
              <w:jc w:val="right"/>
              <w:rPr>
                <w:rFonts w:ascii="Arial" w:hAnsi="Arial" w:cs="Arial"/>
                <w:color w:val="000000"/>
              </w:rPr>
            </w:pPr>
            <w:r>
              <w:rPr>
                <w:rFonts w:ascii="Arial" w:hAnsi="Arial" w:cs="Arial"/>
                <w:color w:val="000000"/>
              </w:rPr>
              <w:t>-</w:t>
            </w:r>
          </w:p>
        </w:tc>
      </w:tr>
      <w:tr w:rsidRPr="00517AD6" w:rsidR="00BF6F47" w:rsidTr="00F30DF9">
        <w:tc>
          <w:tcPr>
            <w:tcW w:w="2977" w:type="dxa"/>
            <w:vMerge/>
          </w:tcPr>
          <w:p w:rsidRPr="00C6420E" w:rsidR="00BF6F47" w:rsidP="00BF6F47" w:rsidRDefault="00BF6F47">
            <w:pPr>
              <w:ind w:firstLine="220" w:firstLineChars="100"/>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EAL</w:t>
            </w:r>
            <w:r>
              <w:rPr>
                <w:rFonts w:ascii="Arial" w:hAnsi="Arial" w:cs="Arial"/>
                <w:color w:val="000000"/>
              </w:rPr>
              <w:t>3</w:t>
            </w:r>
          </w:p>
        </w:tc>
        <w:tc>
          <w:tcPr>
            <w:tcW w:w="1417" w:type="dxa"/>
            <w:vAlign w:val="bottom"/>
          </w:tcPr>
          <w:p w:rsidRPr="00C6420E" w:rsidR="00BF6F47" w:rsidP="00BF6F47" w:rsidRDefault="00BF6F47">
            <w:pPr>
              <w:jc w:val="right"/>
              <w:rPr>
                <w:rFonts w:ascii="Arial" w:hAnsi="Arial" w:cs="Arial"/>
                <w:color w:val="000000"/>
              </w:rPr>
            </w:pPr>
            <w:r>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515</w:t>
            </w:r>
            <w:r w:rsidR="0040692B">
              <w:rPr>
                <w:rFonts w:ascii="Arial" w:hAnsi="Arial" w:cs="Arial"/>
                <w:color w:val="000000"/>
              </w:rPr>
              <w:t>.00</w:t>
            </w:r>
          </w:p>
        </w:tc>
      </w:tr>
      <w:tr w:rsidRPr="00517AD6" w:rsidR="00BF6F47" w:rsidTr="00F30DF9">
        <w:tc>
          <w:tcPr>
            <w:tcW w:w="2977" w:type="dxa"/>
            <w:vMerge w:val="restart"/>
            <w:vAlign w:val="center"/>
          </w:tcPr>
          <w:p w:rsidRPr="00C6420E" w:rsidR="00BF6F47" w:rsidP="00BF6F47" w:rsidRDefault="00BF6F47">
            <w:pPr>
              <w:ind w:firstLine="220" w:firstLineChars="100"/>
              <w:jc w:val="center"/>
              <w:rPr>
                <w:rFonts w:ascii="Arial" w:hAnsi="Arial" w:cs="Arial"/>
                <w:color w:val="000000"/>
              </w:rPr>
            </w:pPr>
            <w:r w:rsidRPr="00C6420E">
              <w:rPr>
                <w:rFonts w:ascii="Arial" w:hAnsi="Arial" w:cs="Arial"/>
                <w:color w:val="000000"/>
              </w:rPr>
              <w:t>School-led funding</w:t>
            </w:r>
          </w:p>
        </w:tc>
        <w:tc>
          <w:tcPr>
            <w:tcW w:w="3969" w:type="dxa"/>
            <w:vAlign w:val="center"/>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Lump sum*</w:t>
            </w:r>
            <w:r w:rsidRPr="00C6420E">
              <w:rPr>
                <w:rFonts w:ascii="Arial" w:hAnsi="Arial" w:cs="Arial"/>
                <w:color w:val="000000"/>
                <w:vertAlign w:val="superscript"/>
              </w:rPr>
              <w:t>1</w:t>
            </w:r>
          </w:p>
        </w:tc>
        <w:tc>
          <w:tcPr>
            <w:tcW w:w="1417" w:type="dxa"/>
            <w:vAlign w:val="center"/>
          </w:tcPr>
          <w:p w:rsidRPr="00C6420E" w:rsidR="00BF6F47" w:rsidP="0040692B" w:rsidRDefault="00BF6F47">
            <w:pPr>
              <w:jc w:val="right"/>
              <w:rPr>
                <w:rFonts w:ascii="Arial" w:hAnsi="Arial" w:cs="Arial"/>
                <w:color w:val="000000"/>
              </w:rPr>
            </w:pPr>
            <w:r w:rsidRPr="00C6420E">
              <w:rPr>
                <w:rFonts w:ascii="Arial" w:hAnsi="Arial" w:cs="Arial"/>
                <w:color w:val="000000"/>
              </w:rPr>
              <w:t>129,62</w:t>
            </w:r>
            <w:r w:rsidR="0040692B">
              <w:rPr>
                <w:rFonts w:ascii="Arial" w:hAnsi="Arial" w:cs="Arial"/>
                <w:color w:val="000000"/>
              </w:rPr>
              <w:t>1.79</w:t>
            </w:r>
          </w:p>
        </w:tc>
        <w:tc>
          <w:tcPr>
            <w:tcW w:w="1559" w:type="dxa"/>
            <w:vAlign w:val="center"/>
          </w:tcPr>
          <w:p w:rsidRPr="00C6420E" w:rsidR="00BF6F47" w:rsidP="00BF6F47" w:rsidRDefault="00BF6F47">
            <w:pPr>
              <w:jc w:val="right"/>
              <w:rPr>
                <w:rFonts w:ascii="Arial" w:hAnsi="Arial" w:cs="Arial"/>
                <w:color w:val="000000"/>
              </w:rPr>
            </w:pPr>
            <w:r w:rsidRPr="00C6420E">
              <w:rPr>
                <w:rFonts w:ascii="Arial" w:hAnsi="Arial" w:cs="Arial"/>
                <w:color w:val="000000"/>
              </w:rPr>
              <w:t>110,000</w:t>
            </w:r>
            <w:r w:rsidR="0040692B">
              <w:rPr>
                <w:rFonts w:ascii="Arial" w:hAnsi="Arial" w:cs="Arial"/>
                <w:color w:val="000000"/>
              </w:rPr>
              <w:t>.00</w:t>
            </w:r>
          </w:p>
        </w:tc>
      </w:tr>
      <w:tr w:rsidRPr="00517AD6" w:rsidR="00BF6F47" w:rsidTr="00F30DF9">
        <w:tc>
          <w:tcPr>
            <w:tcW w:w="2977" w:type="dxa"/>
            <w:vMerge/>
          </w:tcPr>
          <w:p w:rsidRPr="00C6420E" w:rsidR="00BF6F47" w:rsidP="00BF6F47" w:rsidRDefault="00BF6F47">
            <w:pPr>
              <w:ind w:firstLine="220" w:firstLineChars="100"/>
              <w:rPr>
                <w:rFonts w:ascii="Arial" w:hAnsi="Arial" w:cs="Arial"/>
                <w:color w:val="000000"/>
              </w:rPr>
            </w:pPr>
          </w:p>
        </w:tc>
        <w:tc>
          <w:tcPr>
            <w:tcW w:w="3969" w:type="dxa"/>
            <w:vAlign w:val="center"/>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Sparsity</w:t>
            </w:r>
          </w:p>
        </w:tc>
        <w:tc>
          <w:tcPr>
            <w:tcW w:w="1417" w:type="dxa"/>
            <w:vAlign w:val="center"/>
          </w:tcPr>
          <w:p w:rsidRPr="00C6420E" w:rsidR="00BF6F47" w:rsidP="00BF6F47" w:rsidRDefault="00BF6F47">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Up to 25,000</w:t>
            </w:r>
          </w:p>
        </w:tc>
      </w:tr>
      <w:tr w:rsidRPr="00517AD6" w:rsidR="00BF6F47" w:rsidTr="00F30DF9">
        <w:tc>
          <w:tcPr>
            <w:tcW w:w="2977" w:type="dxa"/>
          </w:tcPr>
          <w:p w:rsidRPr="00C6420E" w:rsidR="00BF6F47" w:rsidP="00BF6F47" w:rsidRDefault="00BF6F47">
            <w:pPr>
              <w:ind w:firstLine="220" w:firstLineChars="100"/>
              <w:rPr>
                <w:rFonts w:ascii="Arial" w:hAnsi="Arial" w:cs="Arial"/>
                <w:color w:val="000000"/>
              </w:rPr>
            </w:pPr>
          </w:p>
        </w:tc>
        <w:tc>
          <w:tcPr>
            <w:tcW w:w="3969" w:type="dxa"/>
            <w:vAlign w:val="center"/>
          </w:tcPr>
          <w:p w:rsidRPr="00484CF9" w:rsidR="00BF6F47" w:rsidP="00F30DF9" w:rsidRDefault="00BF6F47">
            <w:pPr>
              <w:ind w:left="34"/>
              <w:rPr>
                <w:rFonts w:ascii="Arial" w:hAnsi="Arial" w:cs="Arial"/>
              </w:rPr>
            </w:pPr>
            <w:r w:rsidRPr="00484CF9">
              <w:rPr>
                <w:rFonts w:ascii="Arial" w:hAnsi="Arial" w:cs="Arial"/>
              </w:rPr>
              <w:t>Minimum overall per pupil*</w:t>
            </w:r>
            <w:r w:rsidRPr="00484CF9">
              <w:rPr>
                <w:rFonts w:ascii="Arial" w:hAnsi="Arial" w:cs="Arial"/>
                <w:vertAlign w:val="superscript"/>
              </w:rPr>
              <w:t>3</w:t>
            </w:r>
          </w:p>
        </w:tc>
        <w:tc>
          <w:tcPr>
            <w:tcW w:w="1417" w:type="dxa"/>
            <w:vAlign w:val="center"/>
          </w:tcPr>
          <w:p w:rsidRPr="00C6420E" w:rsidR="00BF6F47" w:rsidP="00BF6F47" w:rsidRDefault="00BF6F47">
            <w:pPr>
              <w:jc w:val="right"/>
              <w:rPr>
                <w:rFonts w:ascii="Arial" w:hAnsi="Arial" w:cs="Arial"/>
                <w:color w:val="FF0000"/>
              </w:rPr>
            </w:pPr>
            <w:r w:rsidRPr="00484CF9">
              <w:rPr>
                <w:rFonts w:ascii="Arial" w:hAnsi="Arial" w:cs="Arial"/>
              </w:rPr>
              <w:t>-</w:t>
            </w:r>
          </w:p>
        </w:tc>
        <w:tc>
          <w:tcPr>
            <w:tcW w:w="1559" w:type="dxa"/>
          </w:tcPr>
          <w:p w:rsidRPr="00C6420E" w:rsidR="00BF6F47" w:rsidP="00BF6F47" w:rsidRDefault="00BF6F47">
            <w:pPr>
              <w:jc w:val="right"/>
              <w:rPr>
                <w:rFonts w:ascii="Arial" w:hAnsi="Arial" w:cs="Arial"/>
                <w:b/>
                <w:color w:val="FF0000"/>
              </w:rPr>
            </w:pPr>
            <w:r w:rsidRPr="00C6420E">
              <w:rPr>
                <w:rFonts w:ascii="Arial" w:hAnsi="Arial" w:cs="Arial"/>
                <w:b/>
                <w:color w:val="FF0000"/>
              </w:rPr>
              <w:t>£3,500</w:t>
            </w:r>
          </w:p>
        </w:tc>
      </w:tr>
      <w:tr w:rsidRPr="00517AD6" w:rsidR="00BF6F47" w:rsidTr="00F30DF9">
        <w:tc>
          <w:tcPr>
            <w:tcW w:w="9922" w:type="dxa"/>
            <w:gridSpan w:val="4"/>
            <w:shd w:val="clear" w:color="auto" w:fill="2E74B5" w:themeFill="accent1" w:themeFillShade="BF"/>
            <w:vAlign w:val="center"/>
          </w:tcPr>
          <w:p w:rsidRPr="00C6420E" w:rsidR="00BF6F47" w:rsidP="00BF6F47" w:rsidRDefault="00BF6F47">
            <w:pPr>
              <w:jc w:val="right"/>
              <w:rPr>
                <w:rFonts w:ascii="Arial" w:hAnsi="Arial" w:cs="Arial"/>
                <w:b/>
                <w:color w:val="000000"/>
              </w:rPr>
            </w:pPr>
          </w:p>
        </w:tc>
      </w:tr>
      <w:tr w:rsidRPr="00517AD6" w:rsidR="00BF6F47" w:rsidTr="00F30DF9">
        <w:tc>
          <w:tcPr>
            <w:tcW w:w="6946" w:type="dxa"/>
            <w:gridSpan w:val="2"/>
            <w:vAlign w:val="center"/>
          </w:tcPr>
          <w:p w:rsidRPr="00C6420E" w:rsidR="00BF6F47" w:rsidP="00BF6F47" w:rsidRDefault="00BF6F47">
            <w:pPr>
              <w:rPr>
                <w:rFonts w:ascii="Arial" w:hAnsi="Arial" w:cs="Arial"/>
                <w:b/>
                <w:color w:val="000000"/>
              </w:rPr>
            </w:pPr>
            <w:r w:rsidRPr="00C6420E">
              <w:rPr>
                <w:rFonts w:ascii="Arial" w:hAnsi="Arial" w:cs="Arial"/>
                <w:b/>
                <w:color w:val="000000"/>
              </w:rPr>
              <w:t>2017-18 Secondary Sector Factors</w:t>
            </w:r>
          </w:p>
        </w:tc>
        <w:tc>
          <w:tcPr>
            <w:tcW w:w="1417" w:type="dxa"/>
            <w:vAlign w:val="center"/>
          </w:tcPr>
          <w:p w:rsidRPr="00C6420E" w:rsidR="00BF6F47" w:rsidP="00BF6F47" w:rsidRDefault="00BF6F47">
            <w:pPr>
              <w:jc w:val="right"/>
              <w:rPr>
                <w:rFonts w:ascii="Arial" w:hAnsi="Arial" w:cs="Arial"/>
                <w:b/>
                <w:color w:val="000000"/>
              </w:rPr>
            </w:pPr>
            <w:r w:rsidRPr="00C6420E">
              <w:rPr>
                <w:rFonts w:ascii="Arial" w:hAnsi="Arial" w:cs="Arial"/>
                <w:b/>
                <w:color w:val="000000"/>
              </w:rPr>
              <w:t>Derbyshire</w:t>
            </w:r>
          </w:p>
        </w:tc>
        <w:tc>
          <w:tcPr>
            <w:tcW w:w="1559" w:type="dxa"/>
            <w:vAlign w:val="center"/>
          </w:tcPr>
          <w:p w:rsidRPr="00C6420E" w:rsidR="00BF6F47" w:rsidP="00BF6F47" w:rsidRDefault="00BF6F47">
            <w:pPr>
              <w:jc w:val="right"/>
              <w:rPr>
                <w:rFonts w:ascii="Arial" w:hAnsi="Arial" w:cs="Arial"/>
                <w:b/>
                <w:color w:val="000000"/>
              </w:rPr>
            </w:pPr>
            <w:r w:rsidRPr="00C6420E">
              <w:rPr>
                <w:rFonts w:ascii="Arial" w:hAnsi="Arial" w:cs="Arial"/>
                <w:b/>
                <w:color w:val="000000"/>
              </w:rPr>
              <w:t>Final NFF</w:t>
            </w:r>
          </w:p>
        </w:tc>
      </w:tr>
      <w:tr w:rsidRPr="00517AD6" w:rsidR="00BF6F47" w:rsidTr="00F30DF9">
        <w:tc>
          <w:tcPr>
            <w:tcW w:w="2977" w:type="dxa"/>
          </w:tcPr>
          <w:p w:rsidRPr="00C6420E" w:rsidR="00BF6F47" w:rsidP="00BF6F47" w:rsidRDefault="00BF6F47">
            <w:pPr>
              <w:rPr>
                <w:rFonts w:ascii="Arial" w:hAnsi="Arial" w:cs="Arial"/>
                <w:b/>
                <w:bCs/>
                <w:color w:val="000000"/>
              </w:rPr>
            </w:pPr>
          </w:p>
        </w:tc>
        <w:tc>
          <w:tcPr>
            <w:tcW w:w="3969" w:type="dxa"/>
            <w:vAlign w:val="bottom"/>
          </w:tcPr>
          <w:p w:rsidRPr="00C6420E" w:rsidR="00BF6F47" w:rsidP="00BF6F47" w:rsidRDefault="00BF6F47">
            <w:pPr>
              <w:rPr>
                <w:rFonts w:ascii="Arial" w:hAnsi="Arial" w:cs="Arial"/>
                <w:b/>
                <w:bCs/>
                <w:color w:val="000000"/>
              </w:rPr>
            </w:pPr>
            <w:r w:rsidRPr="00C6420E">
              <w:rPr>
                <w:rFonts w:ascii="Arial" w:hAnsi="Arial" w:cs="Arial"/>
                <w:b/>
                <w:bCs/>
                <w:color w:val="000000"/>
              </w:rPr>
              <w:t> </w:t>
            </w:r>
          </w:p>
        </w:tc>
        <w:tc>
          <w:tcPr>
            <w:tcW w:w="1417" w:type="dxa"/>
            <w:vAlign w:val="bottom"/>
          </w:tcPr>
          <w:p w:rsidRPr="00C6420E" w:rsidR="00BF6F47" w:rsidP="00BF6F47" w:rsidRDefault="00BF6F47">
            <w:pPr>
              <w:jc w:val="right"/>
              <w:rPr>
                <w:rFonts w:ascii="Arial" w:hAnsi="Arial" w:cs="Arial"/>
                <w:b/>
                <w:bCs/>
                <w:color w:val="000000"/>
              </w:rPr>
            </w:pPr>
            <w:r w:rsidRPr="00C6420E">
              <w:rPr>
                <w:rFonts w:ascii="Arial" w:hAnsi="Arial" w:cs="Arial"/>
                <w:b/>
                <w:bCs/>
                <w:color w:val="000000"/>
              </w:rPr>
              <w:t>£</w:t>
            </w:r>
          </w:p>
        </w:tc>
        <w:tc>
          <w:tcPr>
            <w:tcW w:w="1559" w:type="dxa"/>
          </w:tcPr>
          <w:p w:rsidRPr="00C6420E" w:rsidR="00BF6F47" w:rsidP="00BF6F47" w:rsidRDefault="00BF6F47">
            <w:pPr>
              <w:jc w:val="right"/>
              <w:rPr>
                <w:rFonts w:ascii="Arial" w:hAnsi="Arial" w:cs="Arial"/>
                <w:b/>
                <w:bCs/>
                <w:color w:val="000000"/>
              </w:rPr>
            </w:pPr>
            <w:r w:rsidRPr="00C6420E">
              <w:rPr>
                <w:rFonts w:ascii="Arial" w:hAnsi="Arial" w:cs="Arial"/>
                <w:b/>
                <w:bCs/>
                <w:color w:val="000000"/>
              </w:rPr>
              <w:t>£</w:t>
            </w:r>
          </w:p>
        </w:tc>
      </w:tr>
      <w:tr w:rsidRPr="00517AD6" w:rsidR="00BF6F47" w:rsidTr="00F30DF9">
        <w:tc>
          <w:tcPr>
            <w:tcW w:w="2977" w:type="dxa"/>
            <w:vMerge w:val="restart"/>
            <w:vAlign w:val="center"/>
          </w:tcPr>
          <w:p w:rsidRPr="00C6420E" w:rsidR="00BF6F47" w:rsidP="00BF6F47" w:rsidRDefault="00BF6F47">
            <w:pPr>
              <w:ind w:firstLine="220" w:firstLineChars="100"/>
              <w:jc w:val="center"/>
              <w:rPr>
                <w:rFonts w:ascii="Arial" w:hAnsi="Arial" w:cs="Arial"/>
                <w:color w:val="000000"/>
              </w:rPr>
            </w:pPr>
            <w:r w:rsidRPr="00C6420E">
              <w:rPr>
                <w:rFonts w:ascii="Arial" w:hAnsi="Arial" w:cs="Arial"/>
                <w:color w:val="000000"/>
              </w:rPr>
              <w:t>Basic per pupil funding</w:t>
            </w: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AWPU – Key Stage 3*</w:t>
            </w:r>
            <w:r w:rsidRPr="00C6420E">
              <w:rPr>
                <w:rFonts w:ascii="Arial" w:hAnsi="Arial" w:cs="Arial"/>
                <w:color w:val="000000"/>
                <w:vertAlign w:val="superscript"/>
              </w:rPr>
              <w:t>2</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3,734</w:t>
            </w:r>
            <w:r w:rsidR="0040692B">
              <w:rPr>
                <w:rFonts w:ascii="Arial" w:hAnsi="Arial" w:cs="Arial"/>
                <w:color w:val="000000"/>
              </w:rPr>
              <w:t>.48</w:t>
            </w:r>
          </w:p>
        </w:tc>
        <w:tc>
          <w:tcPr>
            <w:tcW w:w="1559" w:type="dxa"/>
            <w:vAlign w:val="bottom"/>
          </w:tcPr>
          <w:p w:rsidRPr="00C6420E" w:rsidR="00BF6F47" w:rsidP="0040692B" w:rsidRDefault="00BF6F47">
            <w:pPr>
              <w:jc w:val="right"/>
              <w:rPr>
                <w:rFonts w:ascii="Arial" w:hAnsi="Arial" w:cs="Arial"/>
                <w:b/>
                <w:color w:val="000000"/>
              </w:rPr>
            </w:pPr>
            <w:r w:rsidRPr="00C6420E">
              <w:rPr>
                <w:rFonts w:ascii="Arial" w:hAnsi="Arial" w:cs="Arial"/>
                <w:b/>
                <w:color w:val="FF0000"/>
              </w:rPr>
              <w:t>3,86</w:t>
            </w:r>
            <w:r w:rsidR="0040692B">
              <w:rPr>
                <w:rFonts w:ascii="Arial" w:hAnsi="Arial" w:cs="Arial"/>
                <w:b/>
                <w:color w:val="FF0000"/>
              </w:rPr>
              <w:t>2.65</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AWPU – Key Stage 4*</w:t>
            </w:r>
            <w:r w:rsidRPr="00C6420E">
              <w:rPr>
                <w:rFonts w:ascii="Arial" w:hAnsi="Arial" w:cs="Arial"/>
                <w:color w:val="000000"/>
                <w:vertAlign w:val="superscript"/>
              </w:rPr>
              <w:t>2</w:t>
            </w:r>
          </w:p>
        </w:tc>
        <w:tc>
          <w:tcPr>
            <w:tcW w:w="1417" w:type="dxa"/>
            <w:vAlign w:val="bottom"/>
          </w:tcPr>
          <w:p w:rsidRPr="00C6420E" w:rsidR="00BF6F47" w:rsidP="0040692B" w:rsidRDefault="00BF6F47">
            <w:pPr>
              <w:jc w:val="right"/>
              <w:rPr>
                <w:rFonts w:ascii="Arial" w:hAnsi="Arial" w:cs="Arial"/>
                <w:color w:val="000000"/>
              </w:rPr>
            </w:pPr>
            <w:r w:rsidRPr="00C6420E">
              <w:rPr>
                <w:rFonts w:ascii="Arial" w:hAnsi="Arial" w:cs="Arial"/>
                <w:color w:val="000000"/>
              </w:rPr>
              <w:t>4,37</w:t>
            </w:r>
            <w:r w:rsidR="0040692B">
              <w:rPr>
                <w:rFonts w:ascii="Arial" w:hAnsi="Arial" w:cs="Arial"/>
                <w:color w:val="000000"/>
              </w:rPr>
              <w:t>5.55</w:t>
            </w:r>
          </w:p>
        </w:tc>
        <w:tc>
          <w:tcPr>
            <w:tcW w:w="1559" w:type="dxa"/>
            <w:vAlign w:val="bottom"/>
          </w:tcPr>
          <w:p w:rsidRPr="00C6420E" w:rsidR="00BF6F47" w:rsidP="0040692B" w:rsidRDefault="00BF6F47">
            <w:pPr>
              <w:jc w:val="right"/>
              <w:rPr>
                <w:rFonts w:ascii="Arial" w:hAnsi="Arial" w:cs="Arial"/>
                <w:b/>
                <w:color w:val="000000"/>
              </w:rPr>
            </w:pPr>
            <w:r w:rsidRPr="00C6420E">
              <w:rPr>
                <w:rFonts w:ascii="Arial" w:hAnsi="Arial" w:cs="Arial"/>
                <w:b/>
                <w:color w:val="FF0000"/>
              </w:rPr>
              <w:t>4,38</w:t>
            </w:r>
            <w:r w:rsidR="0040692B">
              <w:rPr>
                <w:rFonts w:ascii="Arial" w:hAnsi="Arial" w:cs="Arial"/>
                <w:b/>
                <w:color w:val="FF0000"/>
              </w:rPr>
              <w:t>5.81</w:t>
            </w:r>
          </w:p>
        </w:tc>
      </w:tr>
      <w:tr w:rsidRPr="00517AD6" w:rsidR="00BF6F47" w:rsidTr="00F30DF9">
        <w:tc>
          <w:tcPr>
            <w:tcW w:w="2977" w:type="dxa"/>
            <w:vMerge w:val="restart"/>
            <w:vAlign w:val="center"/>
          </w:tcPr>
          <w:p w:rsidRPr="00C6420E" w:rsidR="00BF6F47" w:rsidP="00BF6F47" w:rsidRDefault="00BF6F47">
            <w:pPr>
              <w:ind w:firstLine="220" w:firstLineChars="100"/>
              <w:jc w:val="center"/>
              <w:rPr>
                <w:rFonts w:ascii="Arial" w:hAnsi="Arial" w:cs="Arial"/>
                <w:color w:val="000000"/>
              </w:rPr>
            </w:pPr>
            <w:r w:rsidRPr="00C6420E">
              <w:rPr>
                <w:rFonts w:ascii="Arial" w:hAnsi="Arial" w:cs="Arial"/>
                <w:color w:val="000000"/>
              </w:rPr>
              <w:t>Additional needs funding</w:t>
            </w:r>
          </w:p>
        </w:tc>
        <w:tc>
          <w:tcPr>
            <w:tcW w:w="3969" w:type="dxa"/>
            <w:vMerge w:val="restart"/>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Deprivation: Ever 6 FSM</w:t>
            </w:r>
          </w:p>
          <w:p w:rsidRPr="00C6420E" w:rsidR="00BF6F47" w:rsidP="00F30DF9" w:rsidRDefault="00BF6F47">
            <w:pPr>
              <w:ind w:firstLine="33" w:firstLineChars="15"/>
              <w:rPr>
                <w:rFonts w:ascii="Arial" w:hAnsi="Arial" w:cs="Arial"/>
                <w:color w:val="000000"/>
              </w:rPr>
            </w:pPr>
            <w:r w:rsidRPr="00C6420E">
              <w:rPr>
                <w:rFonts w:ascii="Arial" w:hAnsi="Arial" w:cs="Arial"/>
                <w:color w:val="000000"/>
              </w:rPr>
              <w:t>Deprivation: Current FSM</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1,921</w:t>
            </w:r>
            <w:r w:rsidR="0040692B">
              <w:rPr>
                <w:rFonts w:ascii="Arial" w:hAnsi="Arial" w:cs="Arial"/>
                <w:color w:val="000000"/>
              </w:rPr>
              <w:t>.25</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noProof/>
                <w:color w:val="000000"/>
                <w:lang w:eastAsia="en-GB"/>
              </w:rPr>
              <mc:AlternateContent>
                <mc:Choice Requires="wps">
                  <w:drawing>
                    <wp:anchor distT="0" distB="0" distL="114300" distR="114300" simplePos="0" relativeHeight="251671552" behindDoc="0" locked="0" layoutInCell="1" allowOverlap="1" wp14:editId="344A3917" wp14:anchorId="580AE042">
                      <wp:simplePos x="0" y="0"/>
                      <wp:positionH relativeFrom="column">
                        <wp:posOffset>59690</wp:posOffset>
                      </wp:positionH>
                      <wp:positionV relativeFrom="paragraph">
                        <wp:posOffset>44450</wp:posOffset>
                      </wp:positionV>
                      <wp:extent cx="403225" cy="3086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308610"/>
                              </a:xfrm>
                              <a:prstGeom prst="rect">
                                <a:avLst/>
                              </a:prstGeom>
                              <a:noFill/>
                              <a:ln w="9525">
                                <a:noFill/>
                                <a:miter lim="800000"/>
                                <a:headEnd/>
                                <a:tailEnd/>
                              </a:ln>
                            </wps:spPr>
                            <wps:txbx>
                              <w:txbxContent>
                                <w:p w:rsidRPr="00484CF9" w:rsidR="001221FC" w:rsidP="00413F84" w:rsidRDefault="001221FC">
                                  <w:pPr>
                                    <w:jc w:val="right"/>
                                    <w:rPr>
                                      <w:rFonts w:ascii="Arial" w:hAnsi="Arial" w:cs="Arial"/>
                                      <w:b/>
                                    </w:rPr>
                                  </w:pPr>
                                  <w:r w:rsidRPr="00484CF9">
                                    <w:rPr>
                                      <w:rFonts w:ascii="Arial" w:hAnsi="Arial" w:cs="Arial"/>
                                      <w:b/>
                                    </w:rPr>
                                    <w: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left:0;text-align:left;margin-left:4.7pt;margin-top:3.5pt;width:31.75pt;height:24.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" w14:anchorId="580AE042">
                      <v:textbox>
                        <w:txbxContent>
                          <w:p w:rsidRPr="00484CF9" w:rsidR="001221FC" w:rsidP="00413F84" w:rsidRDefault="001221FC">
                            <w:pPr>
                              <w:jc w:val="right"/>
                              <w:rPr>
                                <w:rFonts w:ascii="Arial" w:hAnsi="Arial" w:cs="Arial"/>
                                <w:b/>
                              </w:rPr>
                            </w:pPr>
                            <w:r w:rsidRPr="00484CF9">
                              <w:rPr>
                                <w:rFonts w:ascii="Arial" w:hAnsi="Arial" w:cs="Arial"/>
                                <w:b/>
                              </w:rPr>
                              <w:t>Or</w:t>
                            </w:r>
                          </w:p>
                        </w:txbxContent>
                      </v:textbox>
                    </v:shape>
                  </w:pict>
                </mc:Fallback>
              </mc:AlternateContent>
            </w:r>
            <w:r w:rsidRPr="00C6420E">
              <w:rPr>
                <w:rFonts w:ascii="Arial" w:hAnsi="Arial" w:cs="Arial"/>
                <w:color w:val="000000"/>
              </w:rPr>
              <w:t>785</w:t>
            </w:r>
            <w:r w:rsidR="0040692B">
              <w:rPr>
                <w:rFonts w:ascii="Arial" w:hAnsi="Arial" w:cs="Arial"/>
                <w:color w:val="000000"/>
              </w:rPr>
              <w:t>.00</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Merge/>
            <w:vAlign w:val="bottom"/>
          </w:tcPr>
          <w:p w:rsidRPr="00C6420E" w:rsidR="00BF6F47" w:rsidP="00F30DF9" w:rsidRDefault="00BF6F47">
            <w:pPr>
              <w:ind w:firstLine="33" w:firstLineChars="15"/>
              <w:rPr>
                <w:rFonts w:ascii="Arial" w:hAnsi="Arial" w:cs="Arial"/>
                <w:color w:val="000000"/>
              </w:rPr>
            </w:pP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1,225</w:t>
            </w:r>
            <w:r w:rsidR="0040692B">
              <w:rPr>
                <w:rFonts w:ascii="Arial" w:hAnsi="Arial" w:cs="Arial"/>
                <w:color w:val="000000"/>
              </w:rPr>
              <w:t>.00</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Deprivation: IDACI A</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810</w:t>
            </w:r>
            <w:r w:rsidR="0040692B">
              <w:rPr>
                <w:rFonts w:ascii="Arial" w:hAnsi="Arial" w:cs="Arial"/>
                <w:color w:val="000000"/>
              </w:rPr>
              <w:t>.00</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Deprivation: IDACI B</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600</w:t>
            </w:r>
            <w:r w:rsidR="0040692B">
              <w:rPr>
                <w:rFonts w:ascii="Arial" w:hAnsi="Arial" w:cs="Arial"/>
                <w:color w:val="000000"/>
              </w:rPr>
              <w:t>.00</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Deprivation: IDACI C</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w:t>
            </w:r>
          </w:p>
        </w:tc>
        <w:tc>
          <w:tcPr>
            <w:tcW w:w="1559" w:type="dxa"/>
          </w:tcPr>
          <w:p w:rsidRPr="00C6420E" w:rsidR="00BF6F47" w:rsidP="00BF6F47" w:rsidRDefault="00BF6F47">
            <w:pPr>
              <w:jc w:val="right"/>
              <w:rPr>
                <w:rFonts w:ascii="Arial" w:hAnsi="Arial" w:cs="Arial"/>
                <w:b/>
                <w:color w:val="000000"/>
              </w:rPr>
            </w:pPr>
            <w:r w:rsidRPr="00C6420E">
              <w:rPr>
                <w:rFonts w:ascii="Arial" w:hAnsi="Arial" w:cs="Arial"/>
                <w:b/>
                <w:color w:val="FF0000"/>
              </w:rPr>
              <w:t>560</w:t>
            </w:r>
            <w:r w:rsidR="0040692B">
              <w:rPr>
                <w:rFonts w:ascii="Arial" w:hAnsi="Arial" w:cs="Arial"/>
                <w:b/>
                <w:color w:val="FF0000"/>
              </w:rPr>
              <w:t>.00</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Deprivation: IDACI D</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515</w:t>
            </w:r>
            <w:r w:rsidR="0040692B">
              <w:rPr>
                <w:rFonts w:ascii="Arial" w:hAnsi="Arial" w:cs="Arial"/>
                <w:color w:val="000000"/>
              </w:rPr>
              <w:t>.00</w:t>
            </w:r>
          </w:p>
        </w:tc>
      </w:tr>
      <w:tr w:rsidRPr="00517AD6" w:rsidR="00BF6F47" w:rsidTr="00F30DF9">
        <w:trPr>
          <w:trHeight w:val="64"/>
        </w:trPr>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Deprivation: IDACI E</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390</w:t>
            </w:r>
            <w:r w:rsidR="0040692B">
              <w:rPr>
                <w:rFonts w:ascii="Arial" w:hAnsi="Arial" w:cs="Arial"/>
                <w:color w:val="000000"/>
              </w:rPr>
              <w:t>.00</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Deprivation: IDACI F</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290</w:t>
            </w:r>
            <w:r w:rsidR="0040692B">
              <w:rPr>
                <w:rFonts w:ascii="Arial" w:hAnsi="Arial" w:cs="Arial"/>
                <w:color w:val="000000"/>
              </w:rPr>
              <w:t>.00</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Prior attainment</w:t>
            </w:r>
          </w:p>
        </w:tc>
        <w:tc>
          <w:tcPr>
            <w:tcW w:w="1417"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1,115</w:t>
            </w:r>
            <w:r w:rsidR="0040692B">
              <w:rPr>
                <w:rFonts w:ascii="Arial" w:hAnsi="Arial" w:cs="Arial"/>
                <w:color w:val="000000"/>
              </w:rPr>
              <w:t>.01</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1,550</w:t>
            </w:r>
            <w:r w:rsidR="0040692B">
              <w:rPr>
                <w:rFonts w:ascii="Arial" w:hAnsi="Arial" w:cs="Arial"/>
                <w:color w:val="000000"/>
              </w:rPr>
              <w:t>.00</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Pr>
                <w:rFonts w:ascii="Arial" w:hAnsi="Arial" w:cs="Arial"/>
                <w:color w:val="000000"/>
              </w:rPr>
              <w:t>EAL1</w:t>
            </w:r>
          </w:p>
        </w:tc>
        <w:tc>
          <w:tcPr>
            <w:tcW w:w="1417" w:type="dxa"/>
            <w:vAlign w:val="bottom"/>
          </w:tcPr>
          <w:p w:rsidRPr="00C6420E" w:rsidR="00BF6F47" w:rsidP="0040692B" w:rsidRDefault="00BF6F47">
            <w:pPr>
              <w:jc w:val="right"/>
              <w:rPr>
                <w:rFonts w:ascii="Arial" w:hAnsi="Arial" w:cs="Arial"/>
                <w:color w:val="000000"/>
              </w:rPr>
            </w:pPr>
            <w:r w:rsidRPr="00C6420E">
              <w:rPr>
                <w:rFonts w:ascii="Arial" w:hAnsi="Arial" w:cs="Arial"/>
                <w:color w:val="000000"/>
              </w:rPr>
              <w:t>32</w:t>
            </w:r>
            <w:r w:rsidR="0040692B">
              <w:rPr>
                <w:rFonts w:ascii="Arial" w:hAnsi="Arial" w:cs="Arial"/>
                <w:color w:val="000000"/>
              </w:rPr>
              <w:t>1.99</w:t>
            </w:r>
          </w:p>
        </w:tc>
        <w:tc>
          <w:tcPr>
            <w:tcW w:w="1559" w:type="dxa"/>
            <w:vAlign w:val="bottom"/>
          </w:tcPr>
          <w:p w:rsidRPr="00C6420E" w:rsidR="00BF6F47" w:rsidP="00BF6F47" w:rsidRDefault="00BF6F47">
            <w:pPr>
              <w:jc w:val="right"/>
              <w:rPr>
                <w:rFonts w:ascii="Arial" w:hAnsi="Arial" w:cs="Arial"/>
                <w:color w:val="000000"/>
              </w:rPr>
            </w:pPr>
            <w:r>
              <w:rPr>
                <w:rFonts w:ascii="Arial" w:hAnsi="Arial" w:cs="Arial"/>
                <w:color w:val="000000"/>
              </w:rPr>
              <w:t>-</w:t>
            </w:r>
          </w:p>
        </w:tc>
      </w:tr>
      <w:tr w:rsidRPr="00517AD6" w:rsidR="00BF6F47" w:rsidTr="00F30DF9">
        <w:tc>
          <w:tcPr>
            <w:tcW w:w="2977" w:type="dxa"/>
            <w:vMerge/>
            <w:vAlign w:val="center"/>
          </w:tcPr>
          <w:p w:rsidRPr="00C6420E" w:rsidR="00BF6F47" w:rsidP="00BF6F47" w:rsidRDefault="00BF6F47">
            <w:pPr>
              <w:ind w:firstLine="220" w:firstLineChars="100"/>
              <w:jc w:val="center"/>
              <w:rPr>
                <w:rFonts w:ascii="Arial" w:hAnsi="Arial" w:cs="Arial"/>
                <w:color w:val="000000"/>
              </w:rPr>
            </w:pPr>
          </w:p>
        </w:tc>
        <w:tc>
          <w:tcPr>
            <w:tcW w:w="3969" w:type="dxa"/>
            <w:vAlign w:val="bottom"/>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EAL</w:t>
            </w:r>
            <w:r>
              <w:rPr>
                <w:rFonts w:ascii="Arial" w:hAnsi="Arial" w:cs="Arial"/>
                <w:color w:val="000000"/>
              </w:rPr>
              <w:t>3</w:t>
            </w:r>
          </w:p>
        </w:tc>
        <w:tc>
          <w:tcPr>
            <w:tcW w:w="1417" w:type="dxa"/>
            <w:vAlign w:val="bottom"/>
          </w:tcPr>
          <w:p w:rsidRPr="00C6420E" w:rsidR="00BF6F47" w:rsidP="00BF6F47" w:rsidRDefault="00BF6F47">
            <w:pPr>
              <w:jc w:val="right"/>
              <w:rPr>
                <w:rFonts w:ascii="Arial" w:hAnsi="Arial" w:cs="Arial"/>
                <w:color w:val="000000"/>
              </w:rPr>
            </w:pPr>
            <w:r>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1,385</w:t>
            </w:r>
            <w:r w:rsidR="0040692B">
              <w:rPr>
                <w:rFonts w:ascii="Arial" w:hAnsi="Arial" w:cs="Arial"/>
                <w:color w:val="000000"/>
              </w:rPr>
              <w:t>.00</w:t>
            </w:r>
          </w:p>
        </w:tc>
      </w:tr>
      <w:tr w:rsidRPr="00517AD6" w:rsidR="00BF6F47" w:rsidTr="00F30DF9">
        <w:tc>
          <w:tcPr>
            <w:tcW w:w="2977" w:type="dxa"/>
            <w:vMerge w:val="restart"/>
            <w:vAlign w:val="center"/>
          </w:tcPr>
          <w:p w:rsidRPr="00C6420E" w:rsidR="00BF6F47" w:rsidP="00BF6F47" w:rsidRDefault="00BF6F47">
            <w:pPr>
              <w:ind w:firstLine="220" w:firstLineChars="100"/>
              <w:jc w:val="center"/>
              <w:rPr>
                <w:rFonts w:ascii="Arial" w:hAnsi="Arial" w:cs="Arial"/>
                <w:color w:val="000000"/>
              </w:rPr>
            </w:pPr>
            <w:r w:rsidRPr="00C6420E">
              <w:rPr>
                <w:rFonts w:ascii="Arial" w:hAnsi="Arial" w:cs="Arial"/>
                <w:color w:val="000000"/>
              </w:rPr>
              <w:t>School-led funding</w:t>
            </w:r>
          </w:p>
        </w:tc>
        <w:tc>
          <w:tcPr>
            <w:tcW w:w="3969" w:type="dxa"/>
            <w:vAlign w:val="center"/>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Lump sum*</w:t>
            </w:r>
            <w:r w:rsidRPr="00C6420E">
              <w:rPr>
                <w:rFonts w:ascii="Arial" w:hAnsi="Arial" w:cs="Arial"/>
                <w:color w:val="000000"/>
                <w:vertAlign w:val="superscript"/>
              </w:rPr>
              <w:t>2</w:t>
            </w:r>
          </w:p>
        </w:tc>
        <w:tc>
          <w:tcPr>
            <w:tcW w:w="1417" w:type="dxa"/>
            <w:vAlign w:val="center"/>
          </w:tcPr>
          <w:p w:rsidRPr="00C6420E" w:rsidR="00BF6F47" w:rsidP="00BF6F47" w:rsidRDefault="00BF6F47">
            <w:pPr>
              <w:jc w:val="right"/>
              <w:rPr>
                <w:rFonts w:ascii="Arial" w:hAnsi="Arial" w:cs="Arial"/>
                <w:color w:val="000000"/>
              </w:rPr>
            </w:pPr>
            <w:r w:rsidRPr="00C6420E">
              <w:rPr>
                <w:rFonts w:ascii="Arial" w:hAnsi="Arial" w:cs="Arial"/>
                <w:color w:val="000000"/>
              </w:rPr>
              <w:t>150,967</w:t>
            </w:r>
            <w:r w:rsidR="0040692B">
              <w:rPr>
                <w:rFonts w:ascii="Arial" w:hAnsi="Arial" w:cs="Arial"/>
                <w:color w:val="000000"/>
              </w:rPr>
              <w:t>.40</w:t>
            </w:r>
          </w:p>
        </w:tc>
        <w:tc>
          <w:tcPr>
            <w:tcW w:w="1559" w:type="dxa"/>
            <w:vAlign w:val="center"/>
          </w:tcPr>
          <w:p w:rsidRPr="00C6420E" w:rsidR="00BF6F47" w:rsidP="00BF6F47" w:rsidRDefault="00BF6F47">
            <w:pPr>
              <w:jc w:val="right"/>
              <w:rPr>
                <w:rFonts w:ascii="Arial" w:hAnsi="Arial" w:cs="Arial"/>
                <w:color w:val="000000"/>
              </w:rPr>
            </w:pPr>
            <w:r w:rsidRPr="00C6420E">
              <w:rPr>
                <w:rFonts w:ascii="Arial" w:hAnsi="Arial" w:cs="Arial"/>
                <w:color w:val="000000"/>
              </w:rPr>
              <w:t>110,000</w:t>
            </w:r>
            <w:r w:rsidR="0040692B">
              <w:rPr>
                <w:rFonts w:ascii="Arial" w:hAnsi="Arial" w:cs="Arial"/>
                <w:color w:val="000000"/>
              </w:rPr>
              <w:t>.00</w:t>
            </w:r>
          </w:p>
        </w:tc>
      </w:tr>
      <w:tr w:rsidRPr="00517AD6" w:rsidR="00BF6F47" w:rsidTr="00F30DF9">
        <w:tc>
          <w:tcPr>
            <w:tcW w:w="2977" w:type="dxa"/>
            <w:vMerge/>
          </w:tcPr>
          <w:p w:rsidRPr="00C6420E" w:rsidR="00BF6F47" w:rsidP="00BF6F47" w:rsidRDefault="00BF6F47">
            <w:pPr>
              <w:ind w:firstLine="220" w:firstLineChars="100"/>
              <w:rPr>
                <w:rFonts w:ascii="Arial" w:hAnsi="Arial" w:cs="Arial"/>
                <w:color w:val="000000"/>
              </w:rPr>
            </w:pPr>
          </w:p>
        </w:tc>
        <w:tc>
          <w:tcPr>
            <w:tcW w:w="3969" w:type="dxa"/>
            <w:vAlign w:val="center"/>
          </w:tcPr>
          <w:p w:rsidRPr="00C6420E" w:rsidR="00BF6F47" w:rsidP="00F30DF9" w:rsidRDefault="00BF6F47">
            <w:pPr>
              <w:ind w:firstLine="33" w:firstLineChars="15"/>
              <w:rPr>
                <w:rFonts w:ascii="Arial" w:hAnsi="Arial" w:cs="Arial"/>
                <w:color w:val="000000"/>
              </w:rPr>
            </w:pPr>
            <w:r w:rsidRPr="00C6420E">
              <w:rPr>
                <w:rFonts w:ascii="Arial" w:hAnsi="Arial" w:cs="Arial"/>
                <w:color w:val="000000"/>
              </w:rPr>
              <w:t>Sparsity</w:t>
            </w:r>
          </w:p>
        </w:tc>
        <w:tc>
          <w:tcPr>
            <w:tcW w:w="1417" w:type="dxa"/>
            <w:vAlign w:val="center"/>
          </w:tcPr>
          <w:p w:rsidRPr="00C6420E" w:rsidR="00BF6F47" w:rsidP="00BF6F47" w:rsidRDefault="00BF6F47">
            <w:pPr>
              <w:jc w:val="right"/>
              <w:rPr>
                <w:rFonts w:ascii="Arial" w:hAnsi="Arial" w:cs="Arial"/>
                <w:color w:val="000000"/>
              </w:rPr>
            </w:pPr>
            <w:r w:rsidRPr="00C6420E">
              <w:rPr>
                <w:rFonts w:ascii="Arial" w:hAnsi="Arial" w:cs="Arial"/>
                <w:color w:val="000000"/>
              </w:rPr>
              <w:t>-</w:t>
            </w:r>
          </w:p>
        </w:tc>
        <w:tc>
          <w:tcPr>
            <w:tcW w:w="1559" w:type="dxa"/>
            <w:vAlign w:val="bottom"/>
          </w:tcPr>
          <w:p w:rsidRPr="00C6420E" w:rsidR="00BF6F47" w:rsidP="00BF6F47" w:rsidRDefault="00BF6F47">
            <w:pPr>
              <w:jc w:val="right"/>
              <w:rPr>
                <w:rFonts w:ascii="Arial" w:hAnsi="Arial" w:cs="Arial"/>
                <w:color w:val="000000"/>
              </w:rPr>
            </w:pPr>
            <w:r w:rsidRPr="00C6420E">
              <w:rPr>
                <w:rFonts w:ascii="Arial" w:hAnsi="Arial" w:cs="Arial"/>
                <w:color w:val="000000"/>
              </w:rPr>
              <w:t>Up to 65,000</w:t>
            </w:r>
          </w:p>
        </w:tc>
      </w:tr>
      <w:tr w:rsidRPr="00517AD6" w:rsidR="00BF6F47" w:rsidTr="00F30DF9">
        <w:tc>
          <w:tcPr>
            <w:tcW w:w="2977" w:type="dxa"/>
          </w:tcPr>
          <w:p w:rsidRPr="00C6420E" w:rsidR="00BF6F47" w:rsidP="00BF6F47" w:rsidRDefault="00BF6F47">
            <w:pPr>
              <w:ind w:firstLine="220" w:firstLineChars="100"/>
              <w:rPr>
                <w:rFonts w:ascii="Arial" w:hAnsi="Arial" w:cs="Arial"/>
                <w:color w:val="000000"/>
              </w:rPr>
            </w:pPr>
          </w:p>
        </w:tc>
        <w:tc>
          <w:tcPr>
            <w:tcW w:w="3969" w:type="dxa"/>
            <w:vAlign w:val="center"/>
          </w:tcPr>
          <w:p w:rsidRPr="00484CF9" w:rsidR="00BF6F47" w:rsidP="00F30DF9" w:rsidRDefault="00BF6F47">
            <w:pPr>
              <w:ind w:left="34"/>
              <w:rPr>
                <w:rFonts w:ascii="Arial" w:hAnsi="Arial" w:cs="Arial"/>
              </w:rPr>
            </w:pPr>
            <w:r w:rsidRPr="00484CF9">
              <w:rPr>
                <w:rFonts w:ascii="Arial" w:hAnsi="Arial" w:cs="Arial"/>
              </w:rPr>
              <w:t>Minimum overall per pupil*</w:t>
            </w:r>
            <w:r w:rsidRPr="00484CF9">
              <w:rPr>
                <w:rFonts w:ascii="Arial" w:hAnsi="Arial" w:cs="Arial"/>
                <w:vertAlign w:val="superscript"/>
              </w:rPr>
              <w:t>3</w:t>
            </w:r>
          </w:p>
        </w:tc>
        <w:tc>
          <w:tcPr>
            <w:tcW w:w="1417" w:type="dxa"/>
            <w:vAlign w:val="center"/>
          </w:tcPr>
          <w:p w:rsidRPr="00C6420E" w:rsidR="00BF6F47" w:rsidP="00BF6F47" w:rsidRDefault="00BF6F47">
            <w:pPr>
              <w:jc w:val="right"/>
              <w:rPr>
                <w:rFonts w:ascii="Arial" w:hAnsi="Arial" w:cs="Arial"/>
                <w:color w:val="FF0000"/>
              </w:rPr>
            </w:pPr>
            <w:r w:rsidRPr="00484CF9">
              <w:rPr>
                <w:rFonts w:ascii="Arial" w:hAnsi="Arial" w:cs="Arial"/>
              </w:rPr>
              <w:t>-</w:t>
            </w:r>
          </w:p>
        </w:tc>
        <w:tc>
          <w:tcPr>
            <w:tcW w:w="1559" w:type="dxa"/>
          </w:tcPr>
          <w:p w:rsidRPr="00C6420E" w:rsidR="00BF6F47" w:rsidP="00BF6F47" w:rsidRDefault="00BF6F47">
            <w:pPr>
              <w:jc w:val="right"/>
              <w:rPr>
                <w:rFonts w:ascii="Arial" w:hAnsi="Arial" w:cs="Arial"/>
                <w:b/>
                <w:color w:val="FF0000"/>
              </w:rPr>
            </w:pPr>
            <w:r w:rsidRPr="00C6420E">
              <w:rPr>
                <w:rFonts w:ascii="Arial" w:hAnsi="Arial" w:cs="Arial"/>
                <w:b/>
                <w:color w:val="FF0000"/>
              </w:rPr>
              <w:t>£4,800</w:t>
            </w:r>
          </w:p>
        </w:tc>
      </w:tr>
    </w:tbl>
    <w:p w:rsidRPr="009D4DC1" w:rsidR="00413F84" w:rsidP="00413F84" w:rsidRDefault="00413F84">
      <w:pPr>
        <w:rPr>
          <w:rFonts w:ascii="Arial" w:hAnsi="Arial" w:cs="Arial"/>
          <w:sz w:val="14"/>
          <w:szCs w:val="24"/>
        </w:rPr>
      </w:pPr>
    </w:p>
    <w:p w:rsidRPr="00517AD6" w:rsidR="00321E13" w:rsidP="00321E13" w:rsidRDefault="00321E13">
      <w:pPr>
        <w:rPr>
          <w:rFonts w:ascii="Arial" w:hAnsi="Arial" w:cs="Arial"/>
          <w:sz w:val="18"/>
          <w:szCs w:val="18"/>
        </w:rPr>
      </w:pPr>
      <w:r w:rsidRPr="00517AD6">
        <w:rPr>
          <w:rFonts w:ascii="Arial" w:hAnsi="Arial" w:cs="Arial"/>
          <w:sz w:val="18"/>
          <w:szCs w:val="18"/>
        </w:rPr>
        <w:t>*</w:t>
      </w:r>
      <w:r w:rsidRPr="00517AD6">
        <w:rPr>
          <w:rFonts w:ascii="Arial" w:hAnsi="Arial" w:cs="Arial"/>
          <w:sz w:val="18"/>
          <w:szCs w:val="18"/>
          <w:vertAlign w:val="superscript"/>
        </w:rPr>
        <w:t>1</w:t>
      </w:r>
      <w:r w:rsidRPr="00517AD6">
        <w:rPr>
          <w:rFonts w:ascii="Arial" w:hAnsi="Arial" w:cs="Arial"/>
          <w:sz w:val="18"/>
          <w:szCs w:val="18"/>
        </w:rPr>
        <w:t xml:space="preserve"> Excludes £10.54 (AWPU) </w:t>
      </w:r>
      <w:r w:rsidRPr="00517AD6" w:rsidR="00517AD6">
        <w:rPr>
          <w:rFonts w:ascii="Arial" w:hAnsi="Arial" w:cs="Arial"/>
          <w:sz w:val="18"/>
          <w:szCs w:val="18"/>
        </w:rPr>
        <w:t xml:space="preserve">&amp; </w:t>
      </w:r>
      <w:r w:rsidRPr="00517AD6">
        <w:rPr>
          <w:rFonts w:ascii="Arial" w:hAnsi="Arial" w:cs="Arial"/>
          <w:sz w:val="18"/>
          <w:szCs w:val="18"/>
        </w:rPr>
        <w:t xml:space="preserve">£2,000 (lump sum) for school improvement </w:t>
      </w:r>
      <w:r w:rsidRPr="00517AD6" w:rsidR="00517AD6">
        <w:rPr>
          <w:rFonts w:ascii="Arial" w:hAnsi="Arial" w:cs="Arial"/>
          <w:sz w:val="18"/>
          <w:szCs w:val="18"/>
        </w:rPr>
        <w:t>&amp;</w:t>
      </w:r>
      <w:r w:rsidRPr="00517AD6">
        <w:rPr>
          <w:rFonts w:ascii="Arial" w:hAnsi="Arial" w:cs="Arial"/>
          <w:sz w:val="18"/>
          <w:szCs w:val="18"/>
        </w:rPr>
        <w:t xml:space="preserve"> redundancy costs funded from DSG reserves</w:t>
      </w:r>
    </w:p>
    <w:p w:rsidRPr="00BF6F47" w:rsidR="00321E13" w:rsidP="00321E13" w:rsidRDefault="00321E13">
      <w:pPr>
        <w:rPr>
          <w:rFonts w:ascii="Arial" w:hAnsi="Arial" w:cs="Arial"/>
          <w:sz w:val="14"/>
          <w:szCs w:val="18"/>
        </w:rPr>
      </w:pPr>
    </w:p>
    <w:p w:rsidR="00321E13" w:rsidP="00321E13" w:rsidRDefault="00321E13">
      <w:pPr>
        <w:rPr>
          <w:rFonts w:ascii="Arial" w:hAnsi="Arial" w:cs="Arial"/>
          <w:sz w:val="18"/>
          <w:szCs w:val="18"/>
        </w:rPr>
      </w:pPr>
      <w:r w:rsidRPr="00517AD6">
        <w:rPr>
          <w:rFonts w:ascii="Arial" w:hAnsi="Arial" w:cs="Arial"/>
          <w:sz w:val="18"/>
          <w:szCs w:val="18"/>
        </w:rPr>
        <w:t>*</w:t>
      </w:r>
      <w:r w:rsidRPr="00517AD6">
        <w:rPr>
          <w:rFonts w:ascii="Arial" w:hAnsi="Arial" w:cs="Arial"/>
          <w:sz w:val="18"/>
          <w:szCs w:val="18"/>
          <w:vertAlign w:val="superscript"/>
        </w:rPr>
        <w:t>2</w:t>
      </w:r>
      <w:r w:rsidRPr="00517AD6">
        <w:rPr>
          <w:rFonts w:ascii="Arial" w:hAnsi="Arial" w:cs="Arial"/>
          <w:sz w:val="18"/>
          <w:szCs w:val="18"/>
        </w:rPr>
        <w:t xml:space="preserve"> Excludes £10.54 (AWPU) and £2,000 (lump sum) for school improvement and redundancy costs and £53.86 (AWPU) additional investment – all funded from DSG reserves</w:t>
      </w:r>
    </w:p>
    <w:p w:rsidRPr="00BF6F47" w:rsidR="00BA0943" w:rsidP="00321E13" w:rsidRDefault="00BA0943">
      <w:pPr>
        <w:rPr>
          <w:rFonts w:ascii="Arial" w:hAnsi="Arial" w:cs="Arial"/>
          <w:sz w:val="18"/>
          <w:szCs w:val="18"/>
        </w:rPr>
      </w:pPr>
    </w:p>
    <w:p w:rsidRPr="00517AD6" w:rsidR="00BA0943" w:rsidP="00321E13" w:rsidRDefault="00BA0943">
      <w:pPr>
        <w:rPr>
          <w:rFonts w:ascii="Arial" w:hAnsi="Arial" w:cs="Arial"/>
          <w:sz w:val="18"/>
          <w:szCs w:val="18"/>
        </w:rPr>
      </w:pPr>
      <w:r w:rsidRPr="00517AD6">
        <w:rPr>
          <w:rFonts w:ascii="Arial" w:hAnsi="Arial" w:cs="Arial"/>
          <w:sz w:val="18"/>
          <w:szCs w:val="18"/>
        </w:rPr>
        <w:t>*</w:t>
      </w:r>
      <w:r>
        <w:rPr>
          <w:rFonts w:ascii="Arial" w:hAnsi="Arial" w:cs="Arial"/>
          <w:sz w:val="18"/>
          <w:szCs w:val="18"/>
          <w:vertAlign w:val="superscript"/>
        </w:rPr>
        <w:t>3</w:t>
      </w:r>
      <w:r w:rsidRPr="00517AD6">
        <w:rPr>
          <w:rFonts w:ascii="Arial" w:hAnsi="Arial" w:cs="Arial"/>
          <w:sz w:val="18"/>
          <w:szCs w:val="18"/>
        </w:rPr>
        <w:t xml:space="preserve"> </w:t>
      </w:r>
      <w:proofErr w:type="gramStart"/>
      <w:r>
        <w:rPr>
          <w:rFonts w:ascii="Arial" w:hAnsi="Arial" w:cs="Arial"/>
          <w:sz w:val="18"/>
          <w:szCs w:val="18"/>
        </w:rPr>
        <w:t>By</w:t>
      </w:r>
      <w:proofErr w:type="gramEnd"/>
      <w:r>
        <w:rPr>
          <w:rFonts w:ascii="Arial" w:hAnsi="Arial" w:cs="Arial"/>
          <w:sz w:val="18"/>
          <w:szCs w:val="18"/>
        </w:rPr>
        <w:t xml:space="preserve"> 2019-20, lower figures apply in 2018-19 (£3,300 and £4,</w:t>
      </w:r>
      <w:r w:rsidR="001727B2">
        <w:rPr>
          <w:rFonts w:ascii="Arial" w:hAnsi="Arial" w:cs="Arial"/>
          <w:sz w:val="18"/>
          <w:szCs w:val="18"/>
        </w:rPr>
        <w:t>6</w:t>
      </w:r>
      <w:r>
        <w:rPr>
          <w:rFonts w:ascii="Arial" w:hAnsi="Arial" w:cs="Arial"/>
          <w:sz w:val="18"/>
          <w:szCs w:val="18"/>
        </w:rPr>
        <w:t>00) – see Annexe</w:t>
      </w:r>
    </w:p>
    <w:p w:rsidRPr="00BF6F47" w:rsidR="00321E13" w:rsidP="00413F84" w:rsidRDefault="00321E13">
      <w:pPr>
        <w:rPr>
          <w:rFonts w:ascii="Arial" w:hAnsi="Arial" w:cs="Arial"/>
          <w:sz w:val="18"/>
          <w:szCs w:val="24"/>
        </w:rPr>
      </w:pPr>
    </w:p>
    <w:p w:rsidRPr="00517AD6" w:rsidR="00413F84" w:rsidP="00321E13" w:rsidRDefault="00321E13">
      <w:pPr>
        <w:rPr>
          <w:rFonts w:ascii="Arial" w:hAnsi="Arial" w:cs="Arial"/>
          <w:sz w:val="24"/>
          <w:szCs w:val="24"/>
        </w:rPr>
      </w:pPr>
      <w:r w:rsidRPr="00517AD6">
        <w:rPr>
          <w:rFonts w:ascii="Arial" w:hAnsi="Arial" w:cs="Arial"/>
          <w:sz w:val="24"/>
          <w:szCs w:val="24"/>
        </w:rPr>
        <w:t xml:space="preserve">In addition </w:t>
      </w:r>
      <w:r w:rsidR="007D0E16">
        <w:rPr>
          <w:rFonts w:ascii="Arial" w:hAnsi="Arial" w:cs="Arial"/>
          <w:sz w:val="24"/>
          <w:szCs w:val="24"/>
        </w:rPr>
        <w:t xml:space="preserve">to the above </w:t>
      </w:r>
      <w:r w:rsidRPr="00517AD6">
        <w:rPr>
          <w:rFonts w:ascii="Arial" w:hAnsi="Arial" w:cs="Arial"/>
          <w:sz w:val="24"/>
          <w:szCs w:val="24"/>
        </w:rPr>
        <w:t xml:space="preserve">there will be specific allocations </w:t>
      </w:r>
      <w:r w:rsidR="007720D3">
        <w:rPr>
          <w:rFonts w:ascii="Arial" w:hAnsi="Arial" w:cs="Arial"/>
          <w:sz w:val="24"/>
          <w:szCs w:val="24"/>
        </w:rPr>
        <w:t xml:space="preserve">through the formula </w:t>
      </w:r>
      <w:r w:rsidRPr="00517AD6">
        <w:rPr>
          <w:rFonts w:ascii="Arial" w:hAnsi="Arial" w:cs="Arial"/>
          <w:sz w:val="24"/>
          <w:szCs w:val="24"/>
        </w:rPr>
        <w:t>for</w:t>
      </w:r>
      <w:r w:rsidR="00C5651B">
        <w:rPr>
          <w:rFonts w:ascii="Arial" w:hAnsi="Arial" w:cs="Arial"/>
          <w:sz w:val="24"/>
          <w:szCs w:val="24"/>
        </w:rPr>
        <w:t xml:space="preserve"> PFI, </w:t>
      </w:r>
      <w:r w:rsidRPr="00517AD6">
        <w:rPr>
          <w:rFonts w:ascii="Arial" w:hAnsi="Arial" w:cs="Arial"/>
          <w:sz w:val="24"/>
          <w:szCs w:val="24"/>
        </w:rPr>
        <w:t xml:space="preserve">rates, split site and exceptional </w:t>
      </w:r>
      <w:r w:rsidR="001C714B">
        <w:rPr>
          <w:rFonts w:ascii="Arial" w:hAnsi="Arial" w:cs="Arial"/>
          <w:sz w:val="24"/>
          <w:szCs w:val="24"/>
        </w:rPr>
        <w:t xml:space="preserve">premises </w:t>
      </w:r>
      <w:r w:rsidRPr="00517AD6">
        <w:rPr>
          <w:rFonts w:ascii="Arial" w:hAnsi="Arial" w:cs="Arial"/>
          <w:sz w:val="24"/>
          <w:szCs w:val="24"/>
        </w:rPr>
        <w:t xml:space="preserve">factors based on 2017-18 planned spend. </w:t>
      </w:r>
      <w:r w:rsidR="00C5651B">
        <w:rPr>
          <w:rFonts w:ascii="Arial" w:hAnsi="Arial" w:cs="Arial"/>
          <w:sz w:val="24"/>
          <w:szCs w:val="24"/>
        </w:rPr>
        <w:t xml:space="preserve">Only the </w:t>
      </w:r>
      <w:r w:rsidRPr="00517AD6">
        <w:rPr>
          <w:rFonts w:ascii="Arial" w:hAnsi="Arial" w:cs="Arial"/>
          <w:sz w:val="24"/>
          <w:szCs w:val="24"/>
        </w:rPr>
        <w:t xml:space="preserve">PFI </w:t>
      </w:r>
      <w:r w:rsidR="00C5651B">
        <w:rPr>
          <w:rFonts w:ascii="Arial" w:hAnsi="Arial" w:cs="Arial"/>
          <w:sz w:val="24"/>
          <w:szCs w:val="24"/>
        </w:rPr>
        <w:t xml:space="preserve">element </w:t>
      </w:r>
      <w:r w:rsidRPr="00517AD6">
        <w:rPr>
          <w:rFonts w:ascii="Arial" w:hAnsi="Arial" w:cs="Arial"/>
          <w:sz w:val="24"/>
          <w:szCs w:val="24"/>
        </w:rPr>
        <w:t xml:space="preserve">will be </w:t>
      </w:r>
      <w:r w:rsidR="00C5651B">
        <w:rPr>
          <w:rFonts w:ascii="Arial" w:hAnsi="Arial" w:cs="Arial"/>
          <w:sz w:val="24"/>
          <w:szCs w:val="24"/>
        </w:rPr>
        <w:t xml:space="preserve">uprated for inflation (using </w:t>
      </w:r>
      <w:r w:rsidRPr="00517AD6">
        <w:rPr>
          <w:rFonts w:ascii="Arial" w:hAnsi="Arial" w:cs="Arial"/>
          <w:sz w:val="24"/>
          <w:szCs w:val="24"/>
        </w:rPr>
        <w:t>RPIX)</w:t>
      </w:r>
      <w:r w:rsidR="00C5651B">
        <w:rPr>
          <w:rFonts w:ascii="Arial" w:hAnsi="Arial" w:cs="Arial"/>
          <w:sz w:val="24"/>
          <w:szCs w:val="24"/>
        </w:rPr>
        <w:t>, the others will be held at 2017-18 cash levels</w:t>
      </w:r>
      <w:r w:rsidRPr="00517AD6">
        <w:rPr>
          <w:rFonts w:ascii="Arial" w:hAnsi="Arial" w:cs="Arial"/>
          <w:sz w:val="24"/>
          <w:szCs w:val="24"/>
        </w:rPr>
        <w:t xml:space="preserve">. </w:t>
      </w:r>
    </w:p>
    <w:p w:rsidRPr="00BF6F47" w:rsidR="00321E13" w:rsidP="00413F84" w:rsidRDefault="00321E13">
      <w:pPr>
        <w:rPr>
          <w:rFonts w:ascii="Arial" w:hAnsi="Arial" w:cs="Arial"/>
          <w:sz w:val="20"/>
          <w:szCs w:val="24"/>
        </w:rPr>
      </w:pPr>
    </w:p>
    <w:p w:rsidR="00321E13" w:rsidP="00413F84" w:rsidRDefault="00321E13">
      <w:pPr>
        <w:rPr>
          <w:rFonts w:ascii="Arial" w:hAnsi="Arial" w:cs="Arial"/>
          <w:sz w:val="24"/>
          <w:szCs w:val="24"/>
        </w:rPr>
      </w:pPr>
      <w:r w:rsidRPr="00517AD6">
        <w:rPr>
          <w:rFonts w:ascii="Arial" w:hAnsi="Arial" w:cs="Arial"/>
          <w:sz w:val="24"/>
          <w:szCs w:val="24"/>
        </w:rPr>
        <w:t xml:space="preserve">The main change from the </w:t>
      </w:r>
      <w:r w:rsidR="00D34BFB">
        <w:rPr>
          <w:rFonts w:ascii="Arial" w:hAnsi="Arial" w:cs="Arial"/>
          <w:sz w:val="24"/>
          <w:szCs w:val="24"/>
        </w:rPr>
        <w:t xml:space="preserve">DfE’s </w:t>
      </w:r>
      <w:r w:rsidRPr="00517AD6">
        <w:rPr>
          <w:rFonts w:ascii="Arial" w:hAnsi="Arial" w:cs="Arial"/>
          <w:sz w:val="24"/>
          <w:szCs w:val="24"/>
        </w:rPr>
        <w:t>original NFF proposals is the inclusion of a minimum overall per pupil funding rate. For primary schools this is £3,300 for 2018-19 rising to £3,500 in 2019-20</w:t>
      </w:r>
      <w:r w:rsidR="00C5651B">
        <w:rPr>
          <w:rFonts w:ascii="Arial" w:hAnsi="Arial" w:cs="Arial"/>
          <w:sz w:val="24"/>
          <w:szCs w:val="24"/>
        </w:rPr>
        <w:t xml:space="preserve">, the equivalent figures for secondary schools being </w:t>
      </w:r>
      <w:r w:rsidRPr="00517AD6">
        <w:rPr>
          <w:rFonts w:ascii="Arial" w:hAnsi="Arial" w:cs="Arial"/>
          <w:sz w:val="24"/>
          <w:szCs w:val="24"/>
        </w:rPr>
        <w:t>£4,</w:t>
      </w:r>
      <w:r w:rsidR="00171BC6">
        <w:rPr>
          <w:rFonts w:ascii="Arial" w:hAnsi="Arial" w:cs="Arial"/>
          <w:sz w:val="24"/>
          <w:szCs w:val="24"/>
        </w:rPr>
        <w:t>6</w:t>
      </w:r>
      <w:r w:rsidRPr="00517AD6">
        <w:rPr>
          <w:rFonts w:ascii="Arial" w:hAnsi="Arial" w:cs="Arial"/>
          <w:sz w:val="24"/>
          <w:szCs w:val="24"/>
        </w:rPr>
        <w:t xml:space="preserve">00 </w:t>
      </w:r>
      <w:r w:rsidR="00C5651B">
        <w:rPr>
          <w:rFonts w:ascii="Arial" w:hAnsi="Arial" w:cs="Arial"/>
          <w:sz w:val="24"/>
          <w:szCs w:val="24"/>
        </w:rPr>
        <w:t xml:space="preserve">and </w:t>
      </w:r>
      <w:r w:rsidRPr="00517AD6">
        <w:rPr>
          <w:rFonts w:ascii="Arial" w:hAnsi="Arial" w:cs="Arial"/>
          <w:sz w:val="24"/>
          <w:szCs w:val="24"/>
        </w:rPr>
        <w:t xml:space="preserve">£4,800 </w:t>
      </w:r>
      <w:r w:rsidR="00C5651B">
        <w:rPr>
          <w:rFonts w:ascii="Arial" w:hAnsi="Arial" w:cs="Arial"/>
          <w:sz w:val="24"/>
          <w:szCs w:val="24"/>
        </w:rPr>
        <w:t>respectively</w:t>
      </w:r>
      <w:r w:rsidRPr="00517AD6">
        <w:rPr>
          <w:rFonts w:ascii="Arial" w:hAnsi="Arial" w:cs="Arial"/>
          <w:sz w:val="24"/>
          <w:szCs w:val="24"/>
        </w:rPr>
        <w:t>.</w:t>
      </w:r>
    </w:p>
    <w:p w:rsidR="00E552E9" w:rsidP="00413F84" w:rsidRDefault="00E552E9">
      <w:pPr>
        <w:rPr>
          <w:rFonts w:ascii="Arial" w:hAnsi="Arial" w:cs="Arial"/>
          <w:sz w:val="24"/>
          <w:szCs w:val="24"/>
        </w:rPr>
      </w:pPr>
    </w:p>
    <w:p w:rsidR="00E552E9" w:rsidP="00413F84" w:rsidRDefault="00E552E9">
      <w:pPr>
        <w:rPr>
          <w:rFonts w:ascii="Arial" w:hAnsi="Arial" w:cs="Arial"/>
          <w:sz w:val="24"/>
          <w:szCs w:val="24"/>
        </w:rPr>
      </w:pPr>
    </w:p>
    <w:p w:rsidR="00E552E9" w:rsidP="00413F84" w:rsidRDefault="00E552E9">
      <w:pPr>
        <w:rPr>
          <w:rFonts w:ascii="Arial" w:hAnsi="Arial" w:cs="Arial"/>
          <w:sz w:val="24"/>
          <w:szCs w:val="24"/>
        </w:rPr>
      </w:pPr>
    </w:p>
    <w:p w:rsidRPr="00517AD6" w:rsidR="00E552E9" w:rsidP="00413F84" w:rsidRDefault="00E552E9">
      <w:pPr>
        <w:rPr>
          <w:rFonts w:ascii="Arial" w:hAnsi="Arial" w:cs="Arial"/>
          <w:sz w:val="24"/>
          <w:szCs w:val="24"/>
        </w:rPr>
      </w:pPr>
    </w:p>
    <w:p w:rsidRPr="00517AD6" w:rsidR="00321E13" w:rsidP="00413F84" w:rsidRDefault="00321E13">
      <w:pPr>
        <w:rPr>
          <w:rFonts w:ascii="Arial" w:hAnsi="Arial" w:cs="Arial"/>
          <w:b/>
          <w:sz w:val="24"/>
          <w:szCs w:val="24"/>
          <w:u w:val="single"/>
        </w:rPr>
      </w:pPr>
      <w:r w:rsidRPr="00517AD6">
        <w:rPr>
          <w:rFonts w:ascii="Arial" w:hAnsi="Arial" w:cs="Arial"/>
          <w:b/>
          <w:sz w:val="24"/>
          <w:szCs w:val="24"/>
        </w:rPr>
        <w:lastRenderedPageBreak/>
        <w:t>1.2</w:t>
      </w:r>
      <w:r w:rsidRPr="00517AD6">
        <w:rPr>
          <w:rFonts w:ascii="Arial" w:hAnsi="Arial" w:cs="Arial"/>
          <w:b/>
          <w:sz w:val="24"/>
          <w:szCs w:val="24"/>
        </w:rPr>
        <w:tab/>
      </w:r>
      <w:r w:rsidRPr="00517AD6">
        <w:rPr>
          <w:rFonts w:ascii="Arial" w:hAnsi="Arial" w:cs="Arial"/>
          <w:b/>
          <w:sz w:val="24"/>
          <w:szCs w:val="24"/>
          <w:u w:val="single"/>
        </w:rPr>
        <w:t>I</w:t>
      </w:r>
      <w:r w:rsidR="00ED5EF6">
        <w:rPr>
          <w:rFonts w:ascii="Arial" w:hAnsi="Arial" w:cs="Arial"/>
          <w:b/>
          <w:sz w:val="24"/>
          <w:szCs w:val="24"/>
          <w:u w:val="single"/>
        </w:rPr>
        <w:t xml:space="preserve">nfluence </w:t>
      </w:r>
      <w:r w:rsidR="00021111">
        <w:rPr>
          <w:rFonts w:ascii="Arial" w:hAnsi="Arial" w:cs="Arial"/>
          <w:b/>
          <w:sz w:val="24"/>
          <w:szCs w:val="24"/>
          <w:u w:val="single"/>
        </w:rPr>
        <w:t xml:space="preserve">and impact </w:t>
      </w:r>
      <w:r w:rsidRPr="00517AD6">
        <w:rPr>
          <w:rFonts w:ascii="Arial" w:hAnsi="Arial" w:cs="Arial"/>
          <w:b/>
          <w:sz w:val="24"/>
          <w:szCs w:val="24"/>
          <w:u w:val="single"/>
        </w:rPr>
        <w:t>of the NFF on funding levels for 2018-19.</w:t>
      </w:r>
    </w:p>
    <w:p w:rsidRPr="00517AD6" w:rsidR="00517AD6" w:rsidP="00236214" w:rsidRDefault="00517AD6">
      <w:pPr>
        <w:rPr>
          <w:rFonts w:ascii="Arial" w:hAnsi="Arial" w:cs="Arial"/>
          <w:sz w:val="24"/>
          <w:szCs w:val="24"/>
        </w:rPr>
      </w:pPr>
    </w:p>
    <w:p w:rsidR="00517AD6" w:rsidP="007D0E16" w:rsidRDefault="00517AD6">
      <w:pPr>
        <w:rPr>
          <w:rFonts w:ascii="Arial" w:hAnsi="Arial" w:cs="Arial"/>
          <w:sz w:val="24"/>
          <w:szCs w:val="24"/>
        </w:rPr>
      </w:pPr>
      <w:r>
        <w:rPr>
          <w:rFonts w:ascii="Arial" w:hAnsi="Arial" w:cs="Arial"/>
          <w:sz w:val="24"/>
          <w:szCs w:val="24"/>
        </w:rPr>
        <w:t xml:space="preserve">For many years the Schools Block </w:t>
      </w:r>
      <w:r w:rsidR="00C35209">
        <w:rPr>
          <w:rFonts w:ascii="Arial" w:hAnsi="Arial" w:cs="Arial"/>
          <w:sz w:val="24"/>
          <w:szCs w:val="24"/>
        </w:rPr>
        <w:t xml:space="preserve">element </w:t>
      </w:r>
      <w:r>
        <w:rPr>
          <w:rFonts w:ascii="Arial" w:hAnsi="Arial" w:cs="Arial"/>
          <w:sz w:val="24"/>
          <w:szCs w:val="24"/>
        </w:rPr>
        <w:t>of the Dedicated Schools Grant has been calculated as the product of a funding rate per pupil – which varied between LAs – multiplied by the number of children</w:t>
      </w:r>
      <w:r w:rsidR="007D37F7">
        <w:rPr>
          <w:rFonts w:ascii="Arial" w:hAnsi="Arial" w:cs="Arial"/>
          <w:sz w:val="24"/>
          <w:szCs w:val="24"/>
        </w:rPr>
        <w:t xml:space="preserve"> on roll</w:t>
      </w:r>
      <w:r>
        <w:rPr>
          <w:rFonts w:ascii="Arial" w:hAnsi="Arial" w:cs="Arial"/>
          <w:sz w:val="24"/>
          <w:szCs w:val="24"/>
        </w:rPr>
        <w:t xml:space="preserve">. In effect this model will continue for 2018-19 </w:t>
      </w:r>
      <w:r w:rsidR="00350818">
        <w:rPr>
          <w:rFonts w:ascii="Arial" w:hAnsi="Arial" w:cs="Arial"/>
          <w:sz w:val="24"/>
          <w:szCs w:val="24"/>
        </w:rPr>
        <w:t xml:space="preserve">but </w:t>
      </w:r>
      <w:r>
        <w:rPr>
          <w:rFonts w:ascii="Arial" w:hAnsi="Arial" w:cs="Arial"/>
          <w:sz w:val="24"/>
          <w:szCs w:val="24"/>
        </w:rPr>
        <w:t xml:space="preserve">with </w:t>
      </w:r>
      <w:r w:rsidR="00350818">
        <w:rPr>
          <w:rFonts w:ascii="Arial" w:hAnsi="Arial" w:cs="Arial"/>
          <w:sz w:val="24"/>
          <w:szCs w:val="24"/>
        </w:rPr>
        <w:t xml:space="preserve">each LA’s </w:t>
      </w:r>
      <w:r>
        <w:rPr>
          <w:rFonts w:ascii="Arial" w:hAnsi="Arial" w:cs="Arial"/>
          <w:sz w:val="24"/>
          <w:szCs w:val="24"/>
        </w:rPr>
        <w:t>funding rates reflecting the impact of the NFF. The calculations underpinning the Schools Block quantum for 2018-19 can be summarised as follows:</w:t>
      </w:r>
    </w:p>
    <w:p w:rsidR="007D0E16" w:rsidP="007D0E16" w:rsidRDefault="007D0E16">
      <w:pPr>
        <w:rPr>
          <w:rFonts w:ascii="Arial" w:hAnsi="Arial" w:cs="Arial"/>
          <w:sz w:val="24"/>
          <w:szCs w:val="24"/>
        </w:rPr>
      </w:pPr>
    </w:p>
    <w:p w:rsidR="00E10A62" w:rsidP="00E10A62" w:rsidRDefault="00E10A62">
      <w:pPr>
        <w:jc w:val="center"/>
        <w:rPr>
          <w:rFonts w:ascii="Arial" w:hAnsi="Arial" w:cs="Arial"/>
          <w:sz w:val="24"/>
          <w:szCs w:val="24"/>
          <w:u w:val="single"/>
        </w:rPr>
      </w:pPr>
      <w:r w:rsidRPr="00DE1843">
        <w:rPr>
          <w:rFonts w:ascii="Arial" w:hAnsi="Arial" w:cs="Arial"/>
          <w:sz w:val="26"/>
          <w:szCs w:val="26"/>
        </w:rPr>
        <w:t>∑</w:t>
      </w:r>
      <w:r>
        <w:rPr>
          <w:rFonts w:ascii="Arial" w:hAnsi="Arial" w:cs="Arial"/>
          <w:sz w:val="24"/>
          <w:szCs w:val="24"/>
          <w:u w:val="single"/>
        </w:rPr>
        <w:t xml:space="preserve">2017-18 </w:t>
      </w:r>
      <w:r w:rsidRPr="00DE1843">
        <w:rPr>
          <w:rFonts w:ascii="Arial" w:hAnsi="Arial" w:cs="Arial"/>
          <w:sz w:val="24"/>
          <w:szCs w:val="24"/>
          <w:u w:val="single"/>
        </w:rPr>
        <w:t xml:space="preserve">National Funding Formula </w:t>
      </w:r>
      <w:r>
        <w:rPr>
          <w:rFonts w:ascii="Arial" w:hAnsi="Arial" w:cs="Arial"/>
          <w:sz w:val="24"/>
          <w:szCs w:val="24"/>
          <w:u w:val="single"/>
        </w:rPr>
        <w:t>b</w:t>
      </w:r>
      <w:r w:rsidRPr="00DE1843">
        <w:rPr>
          <w:rFonts w:ascii="Arial" w:hAnsi="Arial" w:cs="Arial"/>
          <w:sz w:val="24"/>
          <w:szCs w:val="24"/>
          <w:u w:val="single"/>
        </w:rPr>
        <w:t>udgets</w:t>
      </w:r>
      <w:r>
        <w:rPr>
          <w:rFonts w:ascii="Arial" w:hAnsi="Arial" w:cs="Arial"/>
          <w:sz w:val="24"/>
          <w:szCs w:val="24"/>
          <w:u w:val="single"/>
        </w:rPr>
        <w:t xml:space="preserve"> (excl. premises/growth/mobility)</w:t>
      </w:r>
      <w:r w:rsidRPr="00DE1843">
        <w:rPr>
          <w:rFonts w:ascii="Arial" w:hAnsi="Arial" w:cs="Arial"/>
          <w:sz w:val="24"/>
          <w:szCs w:val="24"/>
        </w:rPr>
        <w:t xml:space="preserve"> </w:t>
      </w:r>
    </w:p>
    <w:p w:rsidRPr="00DE1843" w:rsidR="00E10A62" w:rsidP="00E10A62" w:rsidRDefault="00E10A62">
      <w:pPr>
        <w:tabs>
          <w:tab w:val="left" w:pos="2835"/>
        </w:tabs>
        <w:rPr>
          <w:rFonts w:ascii="Arial" w:hAnsi="Arial" w:cs="Arial"/>
          <w:sz w:val="24"/>
          <w:szCs w:val="24"/>
        </w:rPr>
      </w:pPr>
      <w:r>
        <w:rPr>
          <w:rFonts w:ascii="Arial" w:hAnsi="Arial" w:cs="Arial"/>
          <w:sz w:val="24"/>
          <w:szCs w:val="24"/>
        </w:rPr>
        <w:tab/>
      </w:r>
      <w:r w:rsidRPr="00DE1843">
        <w:rPr>
          <w:rFonts w:ascii="Arial" w:hAnsi="Arial" w:cs="Arial"/>
          <w:sz w:val="26"/>
          <w:szCs w:val="26"/>
        </w:rPr>
        <w:t>∑</w:t>
      </w:r>
      <w:r w:rsidRPr="00DE1843">
        <w:rPr>
          <w:rFonts w:ascii="Arial" w:hAnsi="Arial" w:cs="Arial"/>
          <w:sz w:val="24"/>
          <w:szCs w:val="24"/>
        </w:rPr>
        <w:t>October 2016 pupil count</w:t>
      </w:r>
      <w:r>
        <w:rPr>
          <w:rFonts w:ascii="Arial" w:hAnsi="Arial" w:cs="Arial"/>
          <w:sz w:val="24"/>
          <w:szCs w:val="24"/>
        </w:rPr>
        <w:t>s</w:t>
      </w:r>
    </w:p>
    <w:p w:rsidR="00E10A62" w:rsidP="00E10A62" w:rsidRDefault="00E10A62">
      <w:pPr>
        <w:tabs>
          <w:tab w:val="left" w:pos="4253"/>
        </w:tabs>
        <w:ind w:left="4253"/>
        <w:rPr>
          <w:rFonts w:ascii="Arial" w:hAnsi="Arial" w:cs="Arial"/>
          <w:sz w:val="24"/>
          <w:szCs w:val="24"/>
        </w:rPr>
      </w:pPr>
      <w:r>
        <w:rPr>
          <w:rFonts w:ascii="Arial" w:hAnsi="Arial" w:cs="Arial"/>
          <w:sz w:val="24"/>
          <w:szCs w:val="24"/>
        </w:rPr>
        <w:t>=</w:t>
      </w:r>
    </w:p>
    <w:p w:rsidR="00E10A62" w:rsidP="00E10A62" w:rsidRDefault="00E10A62">
      <w:pPr>
        <w:ind w:left="2977"/>
        <w:rPr>
          <w:rFonts w:ascii="Arial" w:hAnsi="Arial" w:cs="Arial"/>
          <w:sz w:val="24"/>
          <w:szCs w:val="24"/>
        </w:rPr>
      </w:pPr>
      <w:r>
        <w:rPr>
          <w:rFonts w:ascii="Arial" w:hAnsi="Arial" w:cs="Arial"/>
          <w:sz w:val="24"/>
          <w:szCs w:val="24"/>
        </w:rPr>
        <w:t>Unit of funding for 2018-19</w:t>
      </w:r>
      <w:r w:rsidR="002C3AAF">
        <w:rPr>
          <w:rFonts w:ascii="Arial" w:hAnsi="Arial" w:cs="Arial"/>
          <w:sz w:val="24"/>
          <w:szCs w:val="24"/>
        </w:rPr>
        <w:t xml:space="preserve">* </w:t>
      </w:r>
      <w:r w:rsidRPr="002C3AAF" w:rsidR="002C3AAF">
        <w:rPr>
          <w:rFonts w:ascii="Arial" w:hAnsi="Arial" w:cs="Arial"/>
          <w:sz w:val="16"/>
          <w:szCs w:val="16"/>
        </w:rPr>
        <w:t>(PUF/SUF)</w:t>
      </w:r>
    </w:p>
    <w:p w:rsidR="00E10A62" w:rsidP="00E10A62" w:rsidRDefault="00E10A62">
      <w:pPr>
        <w:tabs>
          <w:tab w:val="left" w:pos="4253"/>
        </w:tabs>
        <w:rPr>
          <w:rFonts w:ascii="Arial" w:hAnsi="Arial" w:cs="Arial"/>
          <w:sz w:val="24"/>
          <w:szCs w:val="24"/>
        </w:rPr>
      </w:pPr>
      <w:r>
        <w:rPr>
          <w:rFonts w:ascii="Arial" w:hAnsi="Arial" w:cs="Arial"/>
          <w:sz w:val="24"/>
          <w:szCs w:val="24"/>
        </w:rPr>
        <w:tab/>
        <w:t>X</w:t>
      </w:r>
    </w:p>
    <w:p w:rsidR="00E10A62" w:rsidP="00E10A62" w:rsidRDefault="00E10A62">
      <w:pPr>
        <w:tabs>
          <w:tab w:val="left" w:pos="4253"/>
        </w:tabs>
        <w:ind w:left="2835"/>
        <w:rPr>
          <w:rFonts w:ascii="Arial" w:hAnsi="Arial" w:cs="Arial"/>
          <w:sz w:val="24"/>
          <w:szCs w:val="24"/>
        </w:rPr>
      </w:pPr>
      <w:r w:rsidRPr="00DE1843">
        <w:rPr>
          <w:rFonts w:ascii="Arial" w:hAnsi="Arial" w:cs="Arial"/>
          <w:sz w:val="26"/>
          <w:szCs w:val="26"/>
        </w:rPr>
        <w:t>∑</w:t>
      </w:r>
      <w:r>
        <w:rPr>
          <w:rFonts w:ascii="Arial" w:hAnsi="Arial" w:cs="Arial"/>
          <w:sz w:val="24"/>
          <w:szCs w:val="24"/>
        </w:rPr>
        <w:t>October 2017 pupil counts</w:t>
      </w:r>
    </w:p>
    <w:p w:rsidR="00E10A62" w:rsidP="00E10A62" w:rsidRDefault="00E10A62">
      <w:pPr>
        <w:tabs>
          <w:tab w:val="left" w:pos="4253"/>
        </w:tabs>
        <w:ind w:left="4253"/>
        <w:rPr>
          <w:rFonts w:ascii="Arial" w:hAnsi="Arial" w:cs="Arial"/>
          <w:sz w:val="24"/>
          <w:szCs w:val="24"/>
        </w:rPr>
      </w:pPr>
      <w:r>
        <w:rPr>
          <w:rFonts w:ascii="Arial" w:hAnsi="Arial" w:cs="Arial"/>
          <w:sz w:val="24"/>
          <w:szCs w:val="24"/>
        </w:rPr>
        <w:t>=</w:t>
      </w:r>
    </w:p>
    <w:p w:rsidR="00E10A62" w:rsidP="00E10A62" w:rsidRDefault="00E10A62">
      <w:pPr>
        <w:ind w:left="2127"/>
        <w:rPr>
          <w:rFonts w:ascii="Arial" w:hAnsi="Arial" w:cs="Arial"/>
          <w:sz w:val="24"/>
          <w:szCs w:val="24"/>
        </w:rPr>
      </w:pPr>
      <w:r>
        <w:rPr>
          <w:rFonts w:ascii="Arial" w:hAnsi="Arial" w:cs="Arial"/>
          <w:sz w:val="24"/>
          <w:szCs w:val="24"/>
        </w:rPr>
        <w:t>Schools Block (excluding premises/mobility)</w:t>
      </w:r>
    </w:p>
    <w:p w:rsidR="00E10A62" w:rsidP="00E10A62" w:rsidRDefault="00E10A62">
      <w:pPr>
        <w:tabs>
          <w:tab w:val="left" w:pos="4253"/>
        </w:tabs>
        <w:rPr>
          <w:rFonts w:ascii="Arial" w:hAnsi="Arial" w:cs="Arial"/>
          <w:sz w:val="24"/>
          <w:szCs w:val="24"/>
        </w:rPr>
      </w:pPr>
      <w:r>
        <w:rPr>
          <w:rFonts w:ascii="Arial" w:hAnsi="Arial" w:cs="Arial"/>
          <w:sz w:val="24"/>
          <w:szCs w:val="24"/>
        </w:rPr>
        <w:tab/>
        <w:t>+</w:t>
      </w:r>
    </w:p>
    <w:p w:rsidR="00E10A62" w:rsidP="00E10A62" w:rsidRDefault="00E10A62">
      <w:pPr>
        <w:tabs>
          <w:tab w:val="left" w:pos="4253"/>
        </w:tabs>
        <w:ind w:left="2410"/>
        <w:rPr>
          <w:rFonts w:ascii="Arial" w:hAnsi="Arial" w:cs="Arial"/>
          <w:sz w:val="24"/>
          <w:szCs w:val="24"/>
        </w:rPr>
      </w:pPr>
      <w:r>
        <w:rPr>
          <w:rFonts w:ascii="Arial" w:hAnsi="Arial" w:cs="Arial"/>
          <w:sz w:val="24"/>
          <w:szCs w:val="24"/>
        </w:rPr>
        <w:t xml:space="preserve">Premises, mobility and growth funding </w:t>
      </w:r>
    </w:p>
    <w:p w:rsidR="00E10A62" w:rsidP="00E10A62" w:rsidRDefault="00E10A62">
      <w:pPr>
        <w:tabs>
          <w:tab w:val="left" w:pos="4253"/>
        </w:tabs>
        <w:ind w:left="4253"/>
        <w:rPr>
          <w:rFonts w:ascii="Arial" w:hAnsi="Arial" w:cs="Arial"/>
          <w:sz w:val="24"/>
          <w:szCs w:val="24"/>
        </w:rPr>
      </w:pPr>
      <w:r>
        <w:rPr>
          <w:rFonts w:ascii="Arial" w:hAnsi="Arial" w:cs="Arial"/>
          <w:sz w:val="24"/>
          <w:szCs w:val="24"/>
        </w:rPr>
        <w:t>=</w:t>
      </w:r>
    </w:p>
    <w:p w:rsidR="00E10A62" w:rsidP="00E10A62" w:rsidRDefault="00E10A62">
      <w:pPr>
        <w:ind w:left="2552"/>
        <w:rPr>
          <w:rFonts w:ascii="Arial" w:hAnsi="Arial" w:cs="Arial"/>
          <w:sz w:val="24"/>
          <w:szCs w:val="24"/>
        </w:rPr>
      </w:pPr>
      <w:r>
        <w:rPr>
          <w:rFonts w:ascii="Arial" w:hAnsi="Arial" w:cs="Arial"/>
          <w:sz w:val="24"/>
          <w:szCs w:val="24"/>
        </w:rPr>
        <w:t>Total Schools Block 2018-19</w:t>
      </w:r>
    </w:p>
    <w:p w:rsidRPr="002C3AAF" w:rsidR="00E10A62" w:rsidP="00C35209" w:rsidRDefault="00E10A62">
      <w:pPr>
        <w:spacing w:after="120"/>
        <w:rPr>
          <w:rFonts w:ascii="Arial" w:hAnsi="Arial" w:cs="Arial"/>
          <w:sz w:val="18"/>
          <w:szCs w:val="24"/>
        </w:rPr>
      </w:pPr>
    </w:p>
    <w:p w:rsidR="002C3AAF" w:rsidP="00A611F7" w:rsidRDefault="002C3AAF">
      <w:pPr>
        <w:rPr>
          <w:rFonts w:ascii="Arial" w:hAnsi="Arial" w:cs="Arial"/>
          <w:sz w:val="20"/>
          <w:szCs w:val="20"/>
        </w:rPr>
      </w:pPr>
      <w:r w:rsidRPr="00A611F7">
        <w:rPr>
          <w:rFonts w:ascii="Arial" w:hAnsi="Arial" w:cs="Arial"/>
          <w:sz w:val="20"/>
          <w:szCs w:val="20"/>
        </w:rPr>
        <w:t>*Referred to as the Primary and Secondary Units of Funding (PUF/SUF)</w:t>
      </w:r>
    </w:p>
    <w:p w:rsidRPr="00A611F7" w:rsidR="00A611F7" w:rsidP="00C35209" w:rsidRDefault="00A611F7">
      <w:pPr>
        <w:spacing w:after="120"/>
        <w:rPr>
          <w:rFonts w:ascii="Arial" w:hAnsi="Arial" w:cs="Arial"/>
          <w:sz w:val="8"/>
          <w:szCs w:val="20"/>
        </w:rPr>
      </w:pPr>
    </w:p>
    <w:p w:rsidR="00236214" w:rsidP="00C35209" w:rsidRDefault="005772E3">
      <w:pPr>
        <w:spacing w:after="120"/>
        <w:rPr>
          <w:rFonts w:ascii="Arial" w:hAnsi="Arial" w:cs="Arial"/>
          <w:sz w:val="24"/>
          <w:szCs w:val="24"/>
        </w:rPr>
      </w:pPr>
      <w:r>
        <w:rPr>
          <w:rFonts w:ascii="Arial" w:hAnsi="Arial" w:cs="Arial"/>
          <w:sz w:val="24"/>
          <w:szCs w:val="24"/>
        </w:rPr>
        <w:t>If the above approach had been used to determine Derbyshire’s 2017-18 Schools Block the results would have been as follows:</w:t>
      </w:r>
    </w:p>
    <w:p w:rsidR="00474D45" w:rsidP="005B0801" w:rsidRDefault="00474D45">
      <w:pPr>
        <w:rPr>
          <w:rFonts w:ascii="Arial" w:hAnsi="Arial" w:cs="Arial"/>
          <w:b/>
          <w:sz w:val="24"/>
          <w:szCs w:val="24"/>
          <w:u w:val="single"/>
        </w:rPr>
      </w:pPr>
      <w:r w:rsidRPr="00474D45">
        <w:rPr>
          <w:rFonts w:ascii="Arial" w:hAnsi="Arial" w:cs="Arial"/>
          <w:b/>
          <w:sz w:val="24"/>
          <w:szCs w:val="24"/>
          <w:u w:val="single"/>
        </w:rPr>
        <w:t>Table 2 – Calculation of Derbyshire’s Schools Block</w:t>
      </w:r>
    </w:p>
    <w:p w:rsidRPr="005B0801" w:rsidR="005B0801" w:rsidP="005B0801" w:rsidRDefault="005B0801">
      <w:pPr>
        <w:rPr>
          <w:rFonts w:ascii="Arial" w:hAnsi="Arial" w:cs="Arial"/>
          <w:b/>
          <w:sz w:val="16"/>
          <w:szCs w:val="24"/>
          <w:u w:val="single"/>
        </w:rPr>
      </w:pPr>
    </w:p>
    <w:tbl>
      <w:tblPr>
        <w:tblStyle w:val="TableGrid"/>
        <w:tblW w:w="10065" w:type="dxa"/>
        <w:tblInd w:w="137" w:type="dxa"/>
        <w:tblLook w:val="04A0" w:firstRow="1" w:lastRow="0" w:firstColumn="1" w:lastColumn="0" w:noHBand="0" w:noVBand="1"/>
      </w:tblPr>
      <w:tblGrid>
        <w:gridCol w:w="4962"/>
        <w:gridCol w:w="1701"/>
        <w:gridCol w:w="1701"/>
        <w:gridCol w:w="1701"/>
      </w:tblGrid>
      <w:tr w:rsidRPr="00236214" w:rsidR="00FB245E" w:rsidTr="00236214">
        <w:tc>
          <w:tcPr>
            <w:tcW w:w="4962" w:type="dxa"/>
          </w:tcPr>
          <w:p w:rsidRPr="00C6420E" w:rsidR="00236214" w:rsidP="00C428A5" w:rsidRDefault="00236214">
            <w:pPr>
              <w:rPr>
                <w:rFonts w:ascii="Arial" w:hAnsi="Arial" w:cs="Arial"/>
              </w:rPr>
            </w:pPr>
          </w:p>
        </w:tc>
        <w:tc>
          <w:tcPr>
            <w:tcW w:w="1701" w:type="dxa"/>
          </w:tcPr>
          <w:p w:rsidRPr="00C6420E" w:rsidR="00236214" w:rsidP="00C428A5" w:rsidRDefault="00236214">
            <w:pPr>
              <w:jc w:val="right"/>
              <w:rPr>
                <w:rFonts w:ascii="Arial" w:hAnsi="Arial" w:cs="Arial"/>
              </w:rPr>
            </w:pPr>
            <w:r w:rsidRPr="00C6420E">
              <w:rPr>
                <w:rFonts w:ascii="Arial" w:hAnsi="Arial" w:cs="Arial"/>
              </w:rPr>
              <w:t>Primary</w:t>
            </w:r>
          </w:p>
        </w:tc>
        <w:tc>
          <w:tcPr>
            <w:tcW w:w="1701" w:type="dxa"/>
          </w:tcPr>
          <w:p w:rsidRPr="00C6420E" w:rsidR="00236214" w:rsidP="00C428A5" w:rsidRDefault="00236214">
            <w:pPr>
              <w:jc w:val="right"/>
              <w:rPr>
                <w:rFonts w:ascii="Arial" w:hAnsi="Arial" w:cs="Arial"/>
              </w:rPr>
            </w:pPr>
            <w:r w:rsidRPr="00C6420E">
              <w:rPr>
                <w:rFonts w:ascii="Arial" w:hAnsi="Arial" w:cs="Arial"/>
              </w:rPr>
              <w:t>Secondary</w:t>
            </w:r>
          </w:p>
        </w:tc>
        <w:tc>
          <w:tcPr>
            <w:tcW w:w="1701" w:type="dxa"/>
          </w:tcPr>
          <w:p w:rsidRPr="00C6420E" w:rsidR="00236214" w:rsidP="00C428A5" w:rsidRDefault="00236214">
            <w:pPr>
              <w:jc w:val="right"/>
              <w:rPr>
                <w:rFonts w:ascii="Arial" w:hAnsi="Arial" w:cs="Arial"/>
              </w:rPr>
            </w:pPr>
            <w:r w:rsidRPr="00C6420E">
              <w:rPr>
                <w:rFonts w:ascii="Arial" w:hAnsi="Arial" w:cs="Arial"/>
              </w:rPr>
              <w:t>Total</w:t>
            </w:r>
          </w:p>
        </w:tc>
      </w:tr>
      <w:tr w:rsidRPr="00236214" w:rsidR="00FB245E" w:rsidTr="00236214">
        <w:tc>
          <w:tcPr>
            <w:tcW w:w="4962" w:type="dxa"/>
            <w:vAlign w:val="bottom"/>
          </w:tcPr>
          <w:p w:rsidRPr="00C6420E" w:rsidR="00236214" w:rsidP="00873EBB" w:rsidRDefault="007D0E16">
            <w:pPr>
              <w:rPr>
                <w:rFonts w:ascii="Arial" w:hAnsi="Arial" w:cs="Arial"/>
                <w:color w:val="000000"/>
              </w:rPr>
            </w:pPr>
            <w:r w:rsidRPr="00C6420E">
              <w:rPr>
                <w:rFonts w:ascii="Arial" w:hAnsi="Arial" w:cs="Arial"/>
                <w:color w:val="000000"/>
              </w:rPr>
              <w:t xml:space="preserve">2018-19 </w:t>
            </w:r>
            <w:r w:rsidR="002A1A99">
              <w:rPr>
                <w:rFonts w:ascii="Arial" w:hAnsi="Arial" w:cs="Arial"/>
                <w:color w:val="000000"/>
              </w:rPr>
              <w:t xml:space="preserve">primary and secondary </w:t>
            </w:r>
            <w:r w:rsidRPr="00C6420E">
              <w:rPr>
                <w:rFonts w:ascii="Arial" w:hAnsi="Arial" w:cs="Arial"/>
                <w:color w:val="000000"/>
              </w:rPr>
              <w:t>u</w:t>
            </w:r>
            <w:r w:rsidRPr="00C6420E" w:rsidR="00236214">
              <w:rPr>
                <w:rFonts w:ascii="Arial" w:hAnsi="Arial" w:cs="Arial"/>
                <w:color w:val="000000"/>
              </w:rPr>
              <w:t>nit</w:t>
            </w:r>
            <w:r w:rsidR="002A1A99">
              <w:rPr>
                <w:rFonts w:ascii="Arial" w:hAnsi="Arial" w:cs="Arial"/>
                <w:color w:val="000000"/>
              </w:rPr>
              <w:t>s</w:t>
            </w:r>
            <w:r w:rsidRPr="00C6420E" w:rsidR="00236214">
              <w:rPr>
                <w:rFonts w:ascii="Arial" w:hAnsi="Arial" w:cs="Arial"/>
                <w:color w:val="000000"/>
              </w:rPr>
              <w:t xml:space="preserve"> of funding</w:t>
            </w:r>
          </w:p>
        </w:tc>
        <w:tc>
          <w:tcPr>
            <w:tcW w:w="1701" w:type="dxa"/>
            <w:vAlign w:val="bottom"/>
          </w:tcPr>
          <w:p w:rsidRPr="00C6420E" w:rsidR="00236214" w:rsidP="00C428A5" w:rsidRDefault="00236214">
            <w:pPr>
              <w:jc w:val="right"/>
              <w:rPr>
                <w:rFonts w:ascii="Arial" w:hAnsi="Arial" w:cs="Arial"/>
                <w:b/>
                <w:color w:val="000000"/>
              </w:rPr>
            </w:pPr>
            <w:r w:rsidRPr="00C6420E">
              <w:rPr>
                <w:rFonts w:ascii="Arial" w:hAnsi="Arial" w:cs="Arial"/>
                <w:b/>
                <w:color w:val="000000"/>
              </w:rPr>
              <w:t>£3,877.27</w:t>
            </w:r>
          </w:p>
        </w:tc>
        <w:tc>
          <w:tcPr>
            <w:tcW w:w="1701" w:type="dxa"/>
            <w:vAlign w:val="bottom"/>
          </w:tcPr>
          <w:p w:rsidRPr="00C6420E" w:rsidR="00236214" w:rsidP="00C428A5" w:rsidRDefault="00236214">
            <w:pPr>
              <w:jc w:val="right"/>
              <w:rPr>
                <w:rFonts w:ascii="Arial" w:hAnsi="Arial" w:cs="Arial"/>
                <w:b/>
                <w:color w:val="000000"/>
              </w:rPr>
            </w:pPr>
            <w:r w:rsidRPr="00C6420E">
              <w:rPr>
                <w:rFonts w:ascii="Arial" w:hAnsi="Arial" w:cs="Arial"/>
                <w:b/>
                <w:color w:val="000000"/>
              </w:rPr>
              <w:t>£4,959.92</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w:t>
            </w:r>
          </w:p>
        </w:tc>
      </w:tr>
      <w:tr w:rsidRPr="00236214" w:rsidR="00FB245E" w:rsidTr="00C251CE">
        <w:tc>
          <w:tcPr>
            <w:tcW w:w="4962" w:type="dxa"/>
            <w:vAlign w:val="bottom"/>
          </w:tcPr>
          <w:p w:rsidRPr="00C6420E" w:rsidR="00236214" w:rsidP="00BF6F47" w:rsidRDefault="00C251CE">
            <w:pPr>
              <w:rPr>
                <w:rFonts w:ascii="Arial" w:hAnsi="Arial" w:cs="Arial"/>
                <w:color w:val="000000"/>
              </w:rPr>
            </w:pPr>
            <w:r>
              <w:rPr>
                <w:rFonts w:ascii="Arial" w:hAnsi="Arial" w:cs="Arial"/>
                <w:color w:val="000000"/>
              </w:rPr>
              <w:t xml:space="preserve">NOR per </w:t>
            </w:r>
            <w:r w:rsidRPr="00C6420E" w:rsidR="00236214">
              <w:rPr>
                <w:rFonts w:ascii="Arial" w:hAnsi="Arial" w:cs="Arial"/>
                <w:color w:val="000000"/>
              </w:rPr>
              <w:t xml:space="preserve">October 2016 </w:t>
            </w:r>
            <w:r>
              <w:rPr>
                <w:rFonts w:ascii="Arial" w:hAnsi="Arial" w:cs="Arial"/>
                <w:color w:val="000000"/>
              </w:rPr>
              <w:t>census</w:t>
            </w:r>
          </w:p>
        </w:tc>
        <w:tc>
          <w:tcPr>
            <w:tcW w:w="1701" w:type="dxa"/>
            <w:vAlign w:val="center"/>
          </w:tcPr>
          <w:p w:rsidRPr="00C6420E" w:rsidR="00236214" w:rsidP="00C428A5" w:rsidRDefault="00236214">
            <w:pPr>
              <w:jc w:val="right"/>
              <w:rPr>
                <w:rFonts w:ascii="Arial" w:hAnsi="Arial" w:cs="Arial"/>
                <w:color w:val="000000"/>
              </w:rPr>
            </w:pPr>
            <w:r w:rsidRPr="00C6420E">
              <w:rPr>
                <w:rFonts w:ascii="Arial" w:hAnsi="Arial" w:cs="Arial"/>
                <w:color w:val="000000"/>
              </w:rPr>
              <w:t xml:space="preserve">59,187 </w:t>
            </w:r>
          </w:p>
        </w:tc>
        <w:tc>
          <w:tcPr>
            <w:tcW w:w="1701" w:type="dxa"/>
            <w:vAlign w:val="center"/>
          </w:tcPr>
          <w:p w:rsidRPr="00C6420E" w:rsidR="00236214" w:rsidP="00C428A5" w:rsidRDefault="00236214">
            <w:pPr>
              <w:jc w:val="right"/>
              <w:rPr>
                <w:rFonts w:ascii="Arial" w:hAnsi="Arial" w:cs="Arial"/>
                <w:color w:val="000000"/>
              </w:rPr>
            </w:pPr>
            <w:r w:rsidRPr="00C6420E">
              <w:rPr>
                <w:rFonts w:ascii="Arial" w:hAnsi="Arial" w:cs="Arial"/>
                <w:color w:val="000000"/>
              </w:rPr>
              <w:t xml:space="preserve">37,277 </w:t>
            </w:r>
          </w:p>
        </w:tc>
        <w:tc>
          <w:tcPr>
            <w:tcW w:w="1701" w:type="dxa"/>
            <w:vAlign w:val="center"/>
          </w:tcPr>
          <w:p w:rsidRPr="00C6420E" w:rsidR="00236214" w:rsidP="00C428A5" w:rsidRDefault="00236214">
            <w:pPr>
              <w:jc w:val="right"/>
              <w:rPr>
                <w:rFonts w:ascii="Arial" w:hAnsi="Arial" w:cs="Arial"/>
                <w:color w:val="000000"/>
              </w:rPr>
            </w:pPr>
            <w:r w:rsidRPr="00C6420E">
              <w:rPr>
                <w:rFonts w:ascii="Arial" w:hAnsi="Arial" w:cs="Arial"/>
                <w:color w:val="000000"/>
              </w:rPr>
              <w:t xml:space="preserve">96,464 </w:t>
            </w:r>
          </w:p>
        </w:tc>
      </w:tr>
      <w:tr w:rsidRPr="00236214" w:rsidR="00FB245E" w:rsidTr="00236214">
        <w:tc>
          <w:tcPr>
            <w:tcW w:w="4962" w:type="dxa"/>
            <w:vAlign w:val="bottom"/>
          </w:tcPr>
          <w:p w:rsidRPr="00C6420E" w:rsidR="00236214" w:rsidP="007D0E16" w:rsidRDefault="00236214">
            <w:pPr>
              <w:rPr>
                <w:rFonts w:ascii="Arial" w:hAnsi="Arial" w:cs="Arial"/>
                <w:color w:val="000000"/>
              </w:rPr>
            </w:pPr>
            <w:r w:rsidRPr="00C6420E">
              <w:rPr>
                <w:rFonts w:ascii="Arial" w:hAnsi="Arial" w:cs="Arial"/>
                <w:color w:val="000000"/>
              </w:rPr>
              <w:t>Funding</w:t>
            </w:r>
            <w:r w:rsidRPr="00C6420E" w:rsidR="007D0E16">
              <w:rPr>
                <w:rFonts w:ascii="Arial" w:hAnsi="Arial" w:cs="Arial"/>
                <w:color w:val="000000"/>
              </w:rPr>
              <w:t xml:space="preserve"> excluding premises</w:t>
            </w:r>
          </w:p>
        </w:tc>
        <w:tc>
          <w:tcPr>
            <w:tcW w:w="1701" w:type="dxa"/>
            <w:vAlign w:val="bottom"/>
          </w:tcPr>
          <w:p w:rsidRPr="00C6420E" w:rsidR="00236214" w:rsidP="00C428A5" w:rsidRDefault="00236214">
            <w:pPr>
              <w:jc w:val="right"/>
              <w:rPr>
                <w:rFonts w:ascii="Arial" w:hAnsi="Arial" w:cs="Arial"/>
                <w:b/>
                <w:color w:val="000000"/>
              </w:rPr>
            </w:pPr>
            <w:r w:rsidRPr="00C6420E">
              <w:rPr>
                <w:rFonts w:ascii="Arial" w:hAnsi="Arial" w:cs="Arial"/>
                <w:b/>
                <w:color w:val="000000"/>
              </w:rPr>
              <w:t>£229,483,710</w:t>
            </w:r>
          </w:p>
        </w:tc>
        <w:tc>
          <w:tcPr>
            <w:tcW w:w="1701" w:type="dxa"/>
            <w:vAlign w:val="bottom"/>
          </w:tcPr>
          <w:p w:rsidRPr="00C6420E" w:rsidR="00236214" w:rsidP="00C428A5" w:rsidRDefault="00236214">
            <w:pPr>
              <w:jc w:val="right"/>
              <w:rPr>
                <w:rFonts w:ascii="Arial" w:hAnsi="Arial" w:cs="Arial"/>
                <w:b/>
                <w:color w:val="000000"/>
              </w:rPr>
            </w:pPr>
            <w:r w:rsidRPr="00C6420E">
              <w:rPr>
                <w:rFonts w:ascii="Arial" w:hAnsi="Arial" w:cs="Arial"/>
                <w:b/>
                <w:color w:val="000000"/>
              </w:rPr>
              <w:t>£184,890,812</w:t>
            </w:r>
          </w:p>
        </w:tc>
        <w:tc>
          <w:tcPr>
            <w:tcW w:w="1701" w:type="dxa"/>
            <w:vAlign w:val="bottom"/>
          </w:tcPr>
          <w:p w:rsidRPr="00C6420E" w:rsidR="00236214" w:rsidP="00C428A5" w:rsidRDefault="00236214">
            <w:pPr>
              <w:jc w:val="right"/>
              <w:rPr>
                <w:rFonts w:ascii="Arial" w:hAnsi="Arial" w:cs="Arial"/>
                <w:b/>
                <w:color w:val="000000"/>
              </w:rPr>
            </w:pPr>
            <w:r w:rsidRPr="00C6420E">
              <w:rPr>
                <w:rFonts w:ascii="Arial" w:hAnsi="Arial" w:cs="Arial"/>
                <w:b/>
                <w:color w:val="000000"/>
              </w:rPr>
              <w:t>£414,374,522</w:t>
            </w:r>
          </w:p>
        </w:tc>
      </w:tr>
      <w:tr w:rsidRPr="00236214" w:rsidR="00FB245E" w:rsidTr="00236214">
        <w:tc>
          <w:tcPr>
            <w:tcW w:w="4962" w:type="dxa"/>
            <w:vAlign w:val="bottom"/>
          </w:tcPr>
          <w:p w:rsidRPr="00C6420E" w:rsidR="00236214" w:rsidP="00C428A5" w:rsidRDefault="00236214">
            <w:pPr>
              <w:rPr>
                <w:rFonts w:ascii="Arial" w:hAnsi="Arial" w:cs="Arial"/>
                <w:color w:val="000000"/>
              </w:rPr>
            </w:pPr>
          </w:p>
        </w:tc>
        <w:tc>
          <w:tcPr>
            <w:tcW w:w="1701" w:type="dxa"/>
            <w:vAlign w:val="bottom"/>
          </w:tcPr>
          <w:p w:rsidRPr="00C6420E" w:rsidR="00236214" w:rsidP="00C428A5" w:rsidRDefault="00236214">
            <w:pPr>
              <w:jc w:val="right"/>
              <w:rPr>
                <w:rFonts w:ascii="Arial" w:hAnsi="Arial" w:cs="Arial"/>
                <w:color w:val="000000"/>
              </w:rPr>
            </w:pPr>
          </w:p>
        </w:tc>
        <w:tc>
          <w:tcPr>
            <w:tcW w:w="1701" w:type="dxa"/>
            <w:vAlign w:val="bottom"/>
          </w:tcPr>
          <w:p w:rsidRPr="00C6420E" w:rsidR="00236214" w:rsidP="00C428A5" w:rsidRDefault="00236214">
            <w:pPr>
              <w:jc w:val="right"/>
              <w:rPr>
                <w:rFonts w:ascii="Arial" w:hAnsi="Arial" w:cs="Arial"/>
              </w:rPr>
            </w:pPr>
          </w:p>
        </w:tc>
        <w:tc>
          <w:tcPr>
            <w:tcW w:w="1701" w:type="dxa"/>
            <w:vAlign w:val="bottom"/>
          </w:tcPr>
          <w:p w:rsidRPr="00C6420E" w:rsidR="00236214" w:rsidP="00C428A5" w:rsidRDefault="00236214">
            <w:pPr>
              <w:jc w:val="right"/>
              <w:rPr>
                <w:rFonts w:ascii="Arial" w:hAnsi="Arial" w:cs="Arial"/>
              </w:rPr>
            </w:pPr>
          </w:p>
        </w:tc>
      </w:tr>
      <w:tr w:rsidRPr="00236214" w:rsidR="00FB245E" w:rsidTr="00236214">
        <w:tc>
          <w:tcPr>
            <w:tcW w:w="4962" w:type="dxa"/>
            <w:vAlign w:val="bottom"/>
          </w:tcPr>
          <w:p w:rsidRPr="00C6420E" w:rsidR="00236214" w:rsidP="00C428A5" w:rsidRDefault="00236214">
            <w:pPr>
              <w:rPr>
                <w:rFonts w:ascii="Arial" w:hAnsi="Arial" w:cs="Arial"/>
                <w:color w:val="000000"/>
              </w:rPr>
            </w:pPr>
            <w:r w:rsidRPr="00C6420E">
              <w:rPr>
                <w:rFonts w:ascii="Arial" w:hAnsi="Arial" w:cs="Arial"/>
                <w:color w:val="000000"/>
              </w:rPr>
              <w:t>Premises factors:</w:t>
            </w:r>
          </w:p>
        </w:tc>
        <w:tc>
          <w:tcPr>
            <w:tcW w:w="1701" w:type="dxa"/>
            <w:vAlign w:val="bottom"/>
          </w:tcPr>
          <w:p w:rsidRPr="00C6420E" w:rsidR="00236214" w:rsidP="00C428A5" w:rsidRDefault="00236214">
            <w:pPr>
              <w:jc w:val="right"/>
              <w:rPr>
                <w:rFonts w:ascii="Arial" w:hAnsi="Arial" w:cs="Arial"/>
                <w:color w:val="000000"/>
              </w:rPr>
            </w:pPr>
          </w:p>
        </w:tc>
        <w:tc>
          <w:tcPr>
            <w:tcW w:w="1701" w:type="dxa"/>
            <w:vAlign w:val="bottom"/>
          </w:tcPr>
          <w:p w:rsidRPr="00C6420E" w:rsidR="00236214" w:rsidP="00C428A5" w:rsidRDefault="00236214">
            <w:pPr>
              <w:jc w:val="right"/>
              <w:rPr>
                <w:rFonts w:ascii="Arial" w:hAnsi="Arial" w:cs="Arial"/>
                <w:color w:val="000000"/>
              </w:rPr>
            </w:pPr>
          </w:p>
        </w:tc>
        <w:tc>
          <w:tcPr>
            <w:tcW w:w="1701" w:type="dxa"/>
            <w:vAlign w:val="bottom"/>
          </w:tcPr>
          <w:p w:rsidRPr="00C6420E" w:rsidR="00236214" w:rsidP="00C428A5" w:rsidRDefault="00236214">
            <w:pPr>
              <w:jc w:val="right"/>
              <w:rPr>
                <w:rFonts w:ascii="Arial" w:hAnsi="Arial" w:cs="Arial"/>
                <w:color w:val="000000"/>
              </w:rPr>
            </w:pPr>
          </w:p>
        </w:tc>
      </w:tr>
      <w:tr w:rsidRPr="00236214" w:rsidR="00FB245E" w:rsidTr="00236214">
        <w:tc>
          <w:tcPr>
            <w:tcW w:w="4962" w:type="dxa"/>
            <w:vAlign w:val="bottom"/>
          </w:tcPr>
          <w:p w:rsidRPr="00C6420E" w:rsidR="00236214" w:rsidP="00C428A5" w:rsidRDefault="00236214">
            <w:pPr>
              <w:ind w:left="171"/>
              <w:rPr>
                <w:rFonts w:ascii="Arial" w:hAnsi="Arial" w:cs="Arial"/>
                <w:color w:val="000000"/>
              </w:rPr>
            </w:pPr>
            <w:r w:rsidRPr="00C6420E">
              <w:rPr>
                <w:rFonts w:ascii="Arial" w:hAnsi="Arial" w:cs="Arial"/>
                <w:color w:val="000000"/>
              </w:rPr>
              <w:t>Growth Fund (KS1)</w:t>
            </w:r>
          </w:p>
        </w:tc>
        <w:tc>
          <w:tcPr>
            <w:tcW w:w="1701" w:type="dxa"/>
            <w:vAlign w:val="bottom"/>
          </w:tcPr>
          <w:p w:rsidRPr="00C6420E" w:rsidR="00236214" w:rsidP="00F65D44" w:rsidRDefault="00236214">
            <w:pPr>
              <w:jc w:val="right"/>
              <w:rPr>
                <w:rFonts w:ascii="Arial" w:hAnsi="Arial" w:cs="Arial"/>
                <w:color w:val="000000"/>
              </w:rPr>
            </w:pPr>
            <w:r w:rsidRPr="00C6420E">
              <w:rPr>
                <w:rFonts w:ascii="Arial" w:hAnsi="Arial" w:cs="Arial"/>
                <w:color w:val="000000"/>
              </w:rPr>
              <w:t>£1,100,000</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£1,100,000</w:t>
            </w:r>
          </w:p>
        </w:tc>
      </w:tr>
      <w:tr w:rsidRPr="00236214" w:rsidR="00FB245E" w:rsidTr="00236214">
        <w:tc>
          <w:tcPr>
            <w:tcW w:w="4962" w:type="dxa"/>
            <w:vAlign w:val="bottom"/>
          </w:tcPr>
          <w:p w:rsidRPr="00C6420E" w:rsidR="00236214" w:rsidP="00C428A5" w:rsidRDefault="00236214">
            <w:pPr>
              <w:ind w:left="171"/>
              <w:rPr>
                <w:rFonts w:ascii="Arial" w:hAnsi="Arial" w:cs="Arial"/>
                <w:color w:val="000000"/>
              </w:rPr>
            </w:pPr>
            <w:r w:rsidRPr="00C6420E">
              <w:rPr>
                <w:rFonts w:ascii="Arial" w:hAnsi="Arial" w:cs="Arial"/>
                <w:color w:val="000000"/>
              </w:rPr>
              <w:t>Split site</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£80,136</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£501,065</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£581,201</w:t>
            </w:r>
          </w:p>
        </w:tc>
      </w:tr>
      <w:tr w:rsidRPr="00236214" w:rsidR="00FB245E" w:rsidTr="00236214">
        <w:tc>
          <w:tcPr>
            <w:tcW w:w="4962" w:type="dxa"/>
            <w:vAlign w:val="bottom"/>
          </w:tcPr>
          <w:p w:rsidRPr="00C6420E" w:rsidR="00236214" w:rsidP="00C428A5" w:rsidRDefault="00236214">
            <w:pPr>
              <w:ind w:left="171"/>
              <w:rPr>
                <w:rFonts w:ascii="Arial" w:hAnsi="Arial" w:cs="Arial"/>
                <w:color w:val="000000"/>
              </w:rPr>
            </w:pPr>
            <w:r w:rsidRPr="00C6420E">
              <w:rPr>
                <w:rFonts w:ascii="Arial" w:hAnsi="Arial" w:cs="Arial"/>
                <w:color w:val="000000"/>
              </w:rPr>
              <w:t>Rates</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£3,523,609</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£3,649,408</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£7,173,017</w:t>
            </w:r>
          </w:p>
        </w:tc>
      </w:tr>
      <w:tr w:rsidRPr="00236214" w:rsidR="00FB245E" w:rsidTr="00236214">
        <w:tc>
          <w:tcPr>
            <w:tcW w:w="4962" w:type="dxa"/>
            <w:vAlign w:val="bottom"/>
          </w:tcPr>
          <w:p w:rsidRPr="00C6420E" w:rsidR="00236214" w:rsidP="00C428A5" w:rsidRDefault="00236214">
            <w:pPr>
              <w:ind w:left="171"/>
              <w:rPr>
                <w:rFonts w:ascii="Arial" w:hAnsi="Arial" w:cs="Arial"/>
                <w:color w:val="000000"/>
              </w:rPr>
            </w:pPr>
            <w:r w:rsidRPr="00C6420E">
              <w:rPr>
                <w:rFonts w:ascii="Arial" w:hAnsi="Arial" w:cs="Arial"/>
                <w:color w:val="000000"/>
              </w:rPr>
              <w:t>PFI</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w:t>
            </w:r>
          </w:p>
        </w:tc>
        <w:tc>
          <w:tcPr>
            <w:tcW w:w="1701" w:type="dxa"/>
            <w:vAlign w:val="bottom"/>
          </w:tcPr>
          <w:p w:rsidRPr="00C6420E" w:rsidR="00236214" w:rsidP="00021111" w:rsidRDefault="00236214">
            <w:pPr>
              <w:jc w:val="right"/>
              <w:rPr>
                <w:rFonts w:ascii="Arial" w:hAnsi="Arial" w:cs="Arial"/>
                <w:color w:val="000000"/>
              </w:rPr>
            </w:pPr>
            <w:r w:rsidRPr="00C6420E">
              <w:rPr>
                <w:rFonts w:ascii="Arial" w:hAnsi="Arial" w:cs="Arial"/>
                <w:color w:val="000000"/>
              </w:rPr>
              <w:t>£2,03</w:t>
            </w:r>
            <w:r w:rsidRPr="00C6420E" w:rsidR="00021111">
              <w:rPr>
                <w:rFonts w:ascii="Arial" w:hAnsi="Arial" w:cs="Arial"/>
                <w:color w:val="000000"/>
              </w:rPr>
              <w:t>6</w:t>
            </w:r>
            <w:r w:rsidRPr="00C6420E">
              <w:rPr>
                <w:rFonts w:ascii="Arial" w:hAnsi="Arial" w:cs="Arial"/>
                <w:color w:val="000000"/>
              </w:rPr>
              <w:t>,646</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£2,036,646</w:t>
            </w:r>
          </w:p>
        </w:tc>
      </w:tr>
      <w:tr w:rsidRPr="00236214" w:rsidR="00FB245E" w:rsidTr="00236214">
        <w:tc>
          <w:tcPr>
            <w:tcW w:w="4962" w:type="dxa"/>
            <w:vAlign w:val="bottom"/>
          </w:tcPr>
          <w:p w:rsidRPr="00C6420E" w:rsidR="00236214" w:rsidP="00C428A5" w:rsidRDefault="00236214">
            <w:pPr>
              <w:ind w:left="171"/>
              <w:rPr>
                <w:rFonts w:ascii="Arial" w:hAnsi="Arial" w:cs="Arial"/>
                <w:color w:val="000000"/>
              </w:rPr>
            </w:pPr>
            <w:r w:rsidRPr="00C6420E">
              <w:rPr>
                <w:rFonts w:ascii="Arial" w:hAnsi="Arial" w:cs="Arial"/>
                <w:color w:val="000000"/>
              </w:rPr>
              <w:t xml:space="preserve">Exceptional </w:t>
            </w:r>
            <w:r w:rsidR="001C714B">
              <w:rPr>
                <w:rFonts w:ascii="Arial" w:hAnsi="Arial" w:cs="Arial"/>
                <w:color w:val="000000"/>
              </w:rPr>
              <w:t xml:space="preserve">premises </w:t>
            </w:r>
            <w:r w:rsidRPr="00C6420E">
              <w:rPr>
                <w:rFonts w:ascii="Arial" w:hAnsi="Arial" w:cs="Arial"/>
                <w:color w:val="000000"/>
              </w:rPr>
              <w:t>factors</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£95,123</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£106,030</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£201,153</w:t>
            </w:r>
          </w:p>
        </w:tc>
      </w:tr>
      <w:tr w:rsidRPr="00236214" w:rsidR="00FB245E" w:rsidTr="00236214">
        <w:tc>
          <w:tcPr>
            <w:tcW w:w="4962" w:type="dxa"/>
            <w:vAlign w:val="bottom"/>
          </w:tcPr>
          <w:p w:rsidRPr="00C6420E" w:rsidR="00236214" w:rsidP="00FB245E" w:rsidRDefault="00236214">
            <w:pPr>
              <w:ind w:left="171"/>
              <w:rPr>
                <w:rFonts w:ascii="Arial" w:hAnsi="Arial" w:cs="Arial"/>
                <w:color w:val="000000"/>
              </w:rPr>
            </w:pPr>
            <w:r w:rsidRPr="00C6420E">
              <w:rPr>
                <w:rFonts w:ascii="Arial" w:hAnsi="Arial" w:cs="Arial"/>
                <w:color w:val="000000"/>
              </w:rPr>
              <w:t>Inflation on above</w:t>
            </w:r>
            <w:r w:rsidRPr="00C6420E" w:rsidR="00021111">
              <w:rPr>
                <w:rFonts w:ascii="Arial" w:hAnsi="Arial" w:cs="Arial"/>
                <w:color w:val="000000"/>
              </w:rPr>
              <w:t xml:space="preserve"> – </w:t>
            </w:r>
            <w:r w:rsidRPr="00C6420E" w:rsidR="00FB245E">
              <w:rPr>
                <w:rFonts w:ascii="Arial" w:hAnsi="Arial" w:cs="Arial"/>
                <w:color w:val="000000"/>
              </w:rPr>
              <w:t>PFI</w:t>
            </w:r>
          </w:p>
        </w:tc>
        <w:tc>
          <w:tcPr>
            <w:tcW w:w="1701" w:type="dxa"/>
            <w:vAlign w:val="bottom"/>
          </w:tcPr>
          <w:p w:rsidRPr="00C6420E" w:rsidR="00236214" w:rsidP="00C428A5" w:rsidRDefault="00FB245E">
            <w:pPr>
              <w:jc w:val="right"/>
              <w:rPr>
                <w:rFonts w:ascii="Arial" w:hAnsi="Arial" w:cs="Arial"/>
                <w:color w:val="000000"/>
              </w:rPr>
            </w:pPr>
            <w:r w:rsidRPr="00C6420E">
              <w:rPr>
                <w:rFonts w:ascii="Arial" w:hAnsi="Arial" w:cs="Arial"/>
                <w:color w:val="000000"/>
              </w:rPr>
              <w:t>0</w:t>
            </w:r>
          </w:p>
        </w:tc>
        <w:tc>
          <w:tcPr>
            <w:tcW w:w="1701" w:type="dxa"/>
            <w:vAlign w:val="bottom"/>
          </w:tcPr>
          <w:p w:rsidRPr="00C6420E" w:rsidR="00236214" w:rsidP="00FB245E" w:rsidRDefault="00021111">
            <w:pPr>
              <w:jc w:val="right"/>
              <w:rPr>
                <w:rFonts w:ascii="Arial" w:hAnsi="Arial" w:cs="Arial"/>
                <w:color w:val="000000"/>
              </w:rPr>
            </w:pPr>
            <w:r w:rsidRPr="00C6420E">
              <w:rPr>
                <w:rFonts w:ascii="Arial" w:hAnsi="Arial" w:cs="Arial"/>
                <w:color w:val="000000"/>
              </w:rPr>
              <w:t>£</w:t>
            </w:r>
            <w:r w:rsidRPr="00C6420E" w:rsidR="00FB245E">
              <w:rPr>
                <w:rFonts w:ascii="Arial" w:hAnsi="Arial" w:cs="Arial"/>
                <w:color w:val="000000"/>
              </w:rPr>
              <w:t>78,003</w:t>
            </w:r>
          </w:p>
        </w:tc>
        <w:tc>
          <w:tcPr>
            <w:tcW w:w="1701" w:type="dxa"/>
            <w:vAlign w:val="bottom"/>
          </w:tcPr>
          <w:p w:rsidRPr="00C6420E" w:rsidR="00236214" w:rsidP="00C428A5" w:rsidRDefault="00236214">
            <w:pPr>
              <w:jc w:val="right"/>
              <w:rPr>
                <w:rFonts w:ascii="Arial" w:hAnsi="Arial" w:cs="Arial"/>
                <w:color w:val="000000"/>
              </w:rPr>
            </w:pPr>
            <w:r w:rsidRPr="00C6420E">
              <w:rPr>
                <w:rFonts w:ascii="Arial" w:hAnsi="Arial" w:cs="Arial"/>
                <w:color w:val="000000"/>
              </w:rPr>
              <w:t>£78,003</w:t>
            </w:r>
          </w:p>
        </w:tc>
      </w:tr>
      <w:tr w:rsidRPr="00236214" w:rsidR="00FB245E" w:rsidTr="00236214">
        <w:tc>
          <w:tcPr>
            <w:tcW w:w="4962" w:type="dxa"/>
            <w:vAlign w:val="bottom"/>
          </w:tcPr>
          <w:p w:rsidRPr="00C6420E" w:rsidR="00236214" w:rsidP="00C428A5" w:rsidRDefault="00236214">
            <w:pPr>
              <w:rPr>
                <w:rFonts w:ascii="Arial" w:hAnsi="Arial" w:cs="Arial"/>
                <w:color w:val="000000"/>
              </w:rPr>
            </w:pPr>
            <w:r w:rsidRPr="00C6420E">
              <w:rPr>
                <w:rFonts w:ascii="Arial" w:hAnsi="Arial" w:cs="Arial"/>
                <w:color w:val="000000"/>
              </w:rPr>
              <w:t>Sub-total premises factors</w:t>
            </w:r>
          </w:p>
        </w:tc>
        <w:tc>
          <w:tcPr>
            <w:tcW w:w="1701" w:type="dxa"/>
            <w:vAlign w:val="bottom"/>
          </w:tcPr>
          <w:p w:rsidRPr="00C6420E" w:rsidR="00236214" w:rsidP="00C428A5" w:rsidRDefault="00021111">
            <w:pPr>
              <w:jc w:val="right"/>
              <w:rPr>
                <w:rFonts w:ascii="Arial" w:hAnsi="Arial" w:cs="Arial"/>
                <w:b/>
                <w:color w:val="000000"/>
              </w:rPr>
            </w:pPr>
            <w:r w:rsidRPr="00C6420E">
              <w:rPr>
                <w:rFonts w:ascii="Arial" w:hAnsi="Arial" w:cs="Arial"/>
                <w:b/>
                <w:color w:val="000000"/>
              </w:rPr>
              <w:t>£4,837,185</w:t>
            </w:r>
          </w:p>
        </w:tc>
        <w:tc>
          <w:tcPr>
            <w:tcW w:w="1701" w:type="dxa"/>
            <w:vAlign w:val="bottom"/>
          </w:tcPr>
          <w:p w:rsidRPr="00C6420E" w:rsidR="00236214" w:rsidP="00C428A5" w:rsidRDefault="00021111">
            <w:pPr>
              <w:jc w:val="right"/>
              <w:rPr>
                <w:rFonts w:ascii="Arial" w:hAnsi="Arial" w:cs="Arial"/>
                <w:b/>
                <w:color w:val="000000"/>
              </w:rPr>
            </w:pPr>
            <w:r w:rsidRPr="00C6420E">
              <w:rPr>
                <w:rFonts w:ascii="Arial" w:hAnsi="Arial" w:cs="Arial"/>
                <w:b/>
                <w:color w:val="000000"/>
              </w:rPr>
              <w:t>£6,332,835</w:t>
            </w:r>
          </w:p>
        </w:tc>
        <w:tc>
          <w:tcPr>
            <w:tcW w:w="1701" w:type="dxa"/>
            <w:vAlign w:val="bottom"/>
          </w:tcPr>
          <w:p w:rsidRPr="00C6420E" w:rsidR="00236214" w:rsidP="00C428A5" w:rsidRDefault="00236214">
            <w:pPr>
              <w:jc w:val="right"/>
              <w:rPr>
                <w:rFonts w:ascii="Arial" w:hAnsi="Arial" w:cs="Arial"/>
                <w:b/>
                <w:color w:val="000000"/>
              </w:rPr>
            </w:pPr>
            <w:r w:rsidRPr="00C6420E">
              <w:rPr>
                <w:rFonts w:ascii="Arial" w:hAnsi="Arial" w:cs="Arial"/>
                <w:b/>
                <w:color w:val="000000"/>
              </w:rPr>
              <w:t>£11,170,020</w:t>
            </w:r>
          </w:p>
        </w:tc>
      </w:tr>
      <w:tr w:rsidRPr="00236214" w:rsidR="00FB245E" w:rsidTr="00236214">
        <w:tc>
          <w:tcPr>
            <w:tcW w:w="4962" w:type="dxa"/>
            <w:vAlign w:val="bottom"/>
          </w:tcPr>
          <w:p w:rsidRPr="00C6420E" w:rsidR="00236214" w:rsidP="00C428A5" w:rsidRDefault="00236214">
            <w:pPr>
              <w:rPr>
                <w:rFonts w:ascii="Arial" w:hAnsi="Arial" w:cs="Arial"/>
                <w:color w:val="000000"/>
              </w:rPr>
            </w:pPr>
          </w:p>
        </w:tc>
        <w:tc>
          <w:tcPr>
            <w:tcW w:w="1701" w:type="dxa"/>
            <w:vAlign w:val="bottom"/>
          </w:tcPr>
          <w:p w:rsidRPr="00C6420E" w:rsidR="00236214" w:rsidP="00C428A5" w:rsidRDefault="00236214">
            <w:pPr>
              <w:jc w:val="right"/>
              <w:rPr>
                <w:rFonts w:ascii="Arial" w:hAnsi="Arial" w:cs="Arial"/>
                <w:color w:val="000000"/>
              </w:rPr>
            </w:pPr>
          </w:p>
        </w:tc>
        <w:tc>
          <w:tcPr>
            <w:tcW w:w="1701" w:type="dxa"/>
            <w:vAlign w:val="bottom"/>
          </w:tcPr>
          <w:p w:rsidRPr="00C6420E" w:rsidR="00236214" w:rsidP="00C428A5" w:rsidRDefault="00236214">
            <w:pPr>
              <w:jc w:val="right"/>
              <w:rPr>
                <w:rFonts w:ascii="Arial" w:hAnsi="Arial" w:cs="Arial"/>
                <w:color w:val="000000"/>
              </w:rPr>
            </w:pPr>
          </w:p>
        </w:tc>
        <w:tc>
          <w:tcPr>
            <w:tcW w:w="1701" w:type="dxa"/>
            <w:vAlign w:val="bottom"/>
          </w:tcPr>
          <w:p w:rsidRPr="00C6420E" w:rsidR="00236214" w:rsidP="00C428A5" w:rsidRDefault="00236214">
            <w:pPr>
              <w:jc w:val="right"/>
              <w:rPr>
                <w:rFonts w:ascii="Arial" w:hAnsi="Arial" w:cs="Arial"/>
                <w:color w:val="000000"/>
              </w:rPr>
            </w:pPr>
          </w:p>
        </w:tc>
      </w:tr>
      <w:tr w:rsidRPr="00236214" w:rsidR="00FB245E" w:rsidTr="00236214">
        <w:tc>
          <w:tcPr>
            <w:tcW w:w="4962" w:type="dxa"/>
            <w:vAlign w:val="bottom"/>
          </w:tcPr>
          <w:p w:rsidRPr="00C6420E" w:rsidR="00236214" w:rsidP="008F393D" w:rsidRDefault="00236214">
            <w:pPr>
              <w:rPr>
                <w:rFonts w:ascii="Arial" w:hAnsi="Arial" w:cs="Arial"/>
                <w:b/>
                <w:color w:val="000000"/>
              </w:rPr>
            </w:pPr>
            <w:r w:rsidRPr="00C6420E">
              <w:rPr>
                <w:rFonts w:ascii="Arial" w:hAnsi="Arial" w:cs="Arial"/>
                <w:b/>
                <w:color w:val="000000"/>
              </w:rPr>
              <w:t xml:space="preserve">2018-19 </w:t>
            </w:r>
            <w:r w:rsidRPr="00C6420E" w:rsidR="00FB245E">
              <w:rPr>
                <w:rFonts w:ascii="Arial" w:hAnsi="Arial" w:cs="Arial"/>
                <w:b/>
                <w:color w:val="000000"/>
              </w:rPr>
              <w:t xml:space="preserve">NFF </w:t>
            </w:r>
            <w:r w:rsidRPr="00C6420E">
              <w:rPr>
                <w:rFonts w:ascii="Arial" w:hAnsi="Arial" w:cs="Arial"/>
                <w:b/>
                <w:color w:val="000000"/>
              </w:rPr>
              <w:t xml:space="preserve">Schools Block </w:t>
            </w:r>
          </w:p>
        </w:tc>
        <w:tc>
          <w:tcPr>
            <w:tcW w:w="1701" w:type="dxa"/>
            <w:vAlign w:val="bottom"/>
          </w:tcPr>
          <w:p w:rsidRPr="00C6420E" w:rsidR="00236214" w:rsidP="00FB245E" w:rsidRDefault="00021111">
            <w:pPr>
              <w:jc w:val="right"/>
              <w:rPr>
                <w:rFonts w:ascii="Arial" w:hAnsi="Arial" w:cs="Arial"/>
                <w:b/>
                <w:color w:val="000000"/>
              </w:rPr>
            </w:pPr>
            <w:r w:rsidRPr="00C6420E">
              <w:rPr>
                <w:rFonts w:ascii="Arial" w:hAnsi="Arial" w:cs="Arial"/>
                <w:b/>
                <w:color w:val="000000"/>
              </w:rPr>
              <w:t>£234,2</w:t>
            </w:r>
            <w:r w:rsidRPr="00C6420E" w:rsidR="00FB245E">
              <w:rPr>
                <w:rFonts w:ascii="Arial" w:hAnsi="Arial" w:cs="Arial"/>
                <w:b/>
                <w:color w:val="000000"/>
              </w:rPr>
              <w:t>82,578</w:t>
            </w:r>
          </w:p>
        </w:tc>
        <w:tc>
          <w:tcPr>
            <w:tcW w:w="1701" w:type="dxa"/>
            <w:vAlign w:val="bottom"/>
          </w:tcPr>
          <w:p w:rsidRPr="00C6420E" w:rsidR="00236214" w:rsidP="00FB245E" w:rsidRDefault="00021111">
            <w:pPr>
              <w:jc w:val="right"/>
              <w:rPr>
                <w:rFonts w:ascii="Arial" w:hAnsi="Arial" w:cs="Arial"/>
                <w:b/>
                <w:color w:val="000000"/>
              </w:rPr>
            </w:pPr>
            <w:r w:rsidRPr="00C6420E">
              <w:rPr>
                <w:rFonts w:ascii="Arial" w:hAnsi="Arial" w:cs="Arial"/>
                <w:b/>
                <w:color w:val="000000"/>
              </w:rPr>
              <w:t>£191,2</w:t>
            </w:r>
            <w:r w:rsidRPr="00C6420E" w:rsidR="00FB245E">
              <w:rPr>
                <w:rFonts w:ascii="Arial" w:hAnsi="Arial" w:cs="Arial"/>
                <w:b/>
                <w:color w:val="000000"/>
              </w:rPr>
              <w:t>61</w:t>
            </w:r>
            <w:r w:rsidRPr="00C6420E">
              <w:rPr>
                <w:rFonts w:ascii="Arial" w:hAnsi="Arial" w:cs="Arial"/>
                <w:b/>
                <w:color w:val="000000"/>
              </w:rPr>
              <w:t>,</w:t>
            </w:r>
            <w:r w:rsidRPr="00C6420E" w:rsidR="00FB245E">
              <w:rPr>
                <w:rFonts w:ascii="Arial" w:hAnsi="Arial" w:cs="Arial"/>
                <w:b/>
                <w:color w:val="000000"/>
              </w:rPr>
              <w:t>964</w:t>
            </w:r>
          </w:p>
        </w:tc>
        <w:tc>
          <w:tcPr>
            <w:tcW w:w="1701" w:type="dxa"/>
            <w:vAlign w:val="bottom"/>
          </w:tcPr>
          <w:p w:rsidRPr="00C6420E" w:rsidR="00236214" w:rsidP="00C428A5" w:rsidRDefault="00236214">
            <w:pPr>
              <w:jc w:val="right"/>
              <w:rPr>
                <w:rFonts w:ascii="Arial" w:hAnsi="Arial" w:cs="Arial"/>
                <w:b/>
                <w:color w:val="000000"/>
              </w:rPr>
            </w:pPr>
            <w:r w:rsidRPr="00C6420E">
              <w:rPr>
                <w:rFonts w:ascii="Arial" w:hAnsi="Arial" w:cs="Arial"/>
                <w:b/>
                <w:color w:val="000000"/>
              </w:rPr>
              <w:t>£425,544,542</w:t>
            </w:r>
          </w:p>
        </w:tc>
      </w:tr>
      <w:tr w:rsidRPr="00236214" w:rsidR="00FB245E" w:rsidTr="00C428A5">
        <w:tc>
          <w:tcPr>
            <w:tcW w:w="4962" w:type="dxa"/>
            <w:vAlign w:val="bottom"/>
          </w:tcPr>
          <w:p w:rsidRPr="00C6420E" w:rsidR="00FB245E" w:rsidP="00D3474C" w:rsidRDefault="00FB245E">
            <w:pPr>
              <w:rPr>
                <w:rFonts w:ascii="Arial" w:hAnsi="Arial" w:cs="Arial"/>
                <w:b/>
                <w:color w:val="000000"/>
              </w:rPr>
            </w:pPr>
            <w:r w:rsidRPr="00C6420E">
              <w:rPr>
                <w:rFonts w:ascii="Arial" w:hAnsi="Arial" w:cs="Arial"/>
                <w:b/>
                <w:color w:val="000000"/>
              </w:rPr>
              <w:t>201</w:t>
            </w:r>
            <w:r w:rsidRPr="00C6420E" w:rsidR="008F393D">
              <w:rPr>
                <w:rFonts w:ascii="Arial" w:hAnsi="Arial" w:cs="Arial"/>
                <w:b/>
                <w:color w:val="000000"/>
              </w:rPr>
              <w:t>7</w:t>
            </w:r>
            <w:r w:rsidRPr="00C6420E">
              <w:rPr>
                <w:rFonts w:ascii="Arial" w:hAnsi="Arial" w:cs="Arial"/>
                <w:b/>
                <w:color w:val="000000"/>
              </w:rPr>
              <w:t>-1</w:t>
            </w:r>
            <w:r w:rsidRPr="00C6420E" w:rsidR="008F393D">
              <w:rPr>
                <w:rFonts w:ascii="Arial" w:hAnsi="Arial" w:cs="Arial"/>
                <w:b/>
                <w:color w:val="000000"/>
              </w:rPr>
              <w:t>8</w:t>
            </w:r>
            <w:r w:rsidRPr="00C6420E">
              <w:rPr>
                <w:rFonts w:ascii="Arial" w:hAnsi="Arial" w:cs="Arial"/>
                <w:b/>
                <w:color w:val="000000"/>
              </w:rPr>
              <w:t xml:space="preserve"> LA Baseline Schools Block</w:t>
            </w:r>
          </w:p>
        </w:tc>
        <w:tc>
          <w:tcPr>
            <w:tcW w:w="1701" w:type="dxa"/>
            <w:shd w:val="clear" w:color="auto" w:fill="2E74B5" w:themeFill="accent1" w:themeFillShade="BF"/>
            <w:vAlign w:val="bottom"/>
          </w:tcPr>
          <w:p w:rsidRPr="00C6420E" w:rsidR="00FB245E" w:rsidP="00FB245E" w:rsidRDefault="00FB245E">
            <w:pPr>
              <w:jc w:val="right"/>
              <w:rPr>
                <w:rFonts w:ascii="Arial" w:hAnsi="Arial" w:cs="Arial"/>
                <w:b/>
                <w:highlight w:val="yellow"/>
              </w:rPr>
            </w:pPr>
          </w:p>
        </w:tc>
        <w:tc>
          <w:tcPr>
            <w:tcW w:w="1701" w:type="dxa"/>
            <w:shd w:val="clear" w:color="auto" w:fill="2E74B5" w:themeFill="accent1" w:themeFillShade="BF"/>
            <w:vAlign w:val="bottom"/>
          </w:tcPr>
          <w:p w:rsidRPr="00C6420E" w:rsidR="00FB245E" w:rsidP="00FB245E" w:rsidRDefault="00FB245E">
            <w:pPr>
              <w:jc w:val="right"/>
              <w:rPr>
                <w:rFonts w:ascii="Arial" w:hAnsi="Arial" w:cs="Arial"/>
                <w:b/>
                <w:highlight w:val="yellow"/>
              </w:rPr>
            </w:pPr>
          </w:p>
        </w:tc>
        <w:tc>
          <w:tcPr>
            <w:tcW w:w="1701" w:type="dxa"/>
            <w:vAlign w:val="bottom"/>
          </w:tcPr>
          <w:p w:rsidRPr="00C6420E" w:rsidR="00FB245E" w:rsidP="00FB245E" w:rsidRDefault="00C428A5">
            <w:pPr>
              <w:jc w:val="right"/>
              <w:rPr>
                <w:rFonts w:ascii="Arial" w:hAnsi="Arial" w:cs="Arial"/>
                <w:b/>
                <w:color w:val="000000"/>
              </w:rPr>
            </w:pPr>
            <w:r w:rsidRPr="00C6420E">
              <w:rPr>
                <w:rFonts w:ascii="Arial" w:hAnsi="Arial" w:cs="Arial"/>
                <w:b/>
                <w:color w:val="000000"/>
              </w:rPr>
              <w:t>£416,719,116</w:t>
            </w:r>
          </w:p>
        </w:tc>
      </w:tr>
      <w:tr w:rsidRPr="00236214" w:rsidR="00FB245E" w:rsidTr="00C428A5">
        <w:tc>
          <w:tcPr>
            <w:tcW w:w="4962" w:type="dxa"/>
            <w:vAlign w:val="bottom"/>
          </w:tcPr>
          <w:p w:rsidRPr="00C6420E" w:rsidR="00FB245E" w:rsidP="008F393D" w:rsidRDefault="008F393D">
            <w:pPr>
              <w:rPr>
                <w:rFonts w:ascii="Arial" w:hAnsi="Arial" w:cs="Arial"/>
                <w:b/>
                <w:color w:val="000000"/>
              </w:rPr>
            </w:pPr>
            <w:r w:rsidRPr="00C6420E">
              <w:rPr>
                <w:rFonts w:ascii="Arial" w:hAnsi="Arial" w:cs="Arial"/>
                <w:b/>
                <w:color w:val="000000"/>
              </w:rPr>
              <w:t>Implied funding increase for 2018-19</w:t>
            </w:r>
          </w:p>
        </w:tc>
        <w:tc>
          <w:tcPr>
            <w:tcW w:w="1701" w:type="dxa"/>
            <w:shd w:val="clear" w:color="auto" w:fill="2E74B5" w:themeFill="accent1" w:themeFillShade="BF"/>
            <w:vAlign w:val="bottom"/>
          </w:tcPr>
          <w:p w:rsidRPr="00C6420E" w:rsidR="00FB245E" w:rsidP="00FB245E" w:rsidRDefault="00FB245E">
            <w:pPr>
              <w:jc w:val="right"/>
              <w:rPr>
                <w:rFonts w:ascii="Arial" w:hAnsi="Arial" w:cs="Arial"/>
                <w:b/>
                <w:highlight w:val="yellow"/>
              </w:rPr>
            </w:pPr>
          </w:p>
        </w:tc>
        <w:tc>
          <w:tcPr>
            <w:tcW w:w="1701" w:type="dxa"/>
            <w:shd w:val="clear" w:color="auto" w:fill="2E74B5" w:themeFill="accent1" w:themeFillShade="BF"/>
            <w:vAlign w:val="bottom"/>
          </w:tcPr>
          <w:p w:rsidRPr="00C6420E" w:rsidR="00FB245E" w:rsidP="00FB245E" w:rsidRDefault="00FB245E">
            <w:pPr>
              <w:jc w:val="right"/>
              <w:rPr>
                <w:rFonts w:ascii="Arial" w:hAnsi="Arial" w:cs="Arial"/>
                <w:b/>
                <w:highlight w:val="yellow"/>
              </w:rPr>
            </w:pPr>
          </w:p>
        </w:tc>
        <w:tc>
          <w:tcPr>
            <w:tcW w:w="1701" w:type="dxa"/>
            <w:vAlign w:val="bottom"/>
          </w:tcPr>
          <w:p w:rsidRPr="00C6420E" w:rsidR="00FB245E" w:rsidP="00C428A5" w:rsidRDefault="00C428A5">
            <w:pPr>
              <w:jc w:val="right"/>
              <w:rPr>
                <w:rFonts w:ascii="Arial" w:hAnsi="Arial" w:cs="Arial"/>
                <w:b/>
                <w:color w:val="000000"/>
              </w:rPr>
            </w:pPr>
            <w:r w:rsidRPr="00C6420E">
              <w:rPr>
                <w:rFonts w:ascii="Arial" w:hAnsi="Arial" w:cs="Arial"/>
                <w:b/>
                <w:color w:val="000000"/>
              </w:rPr>
              <w:t>+£8,825,426</w:t>
            </w:r>
          </w:p>
        </w:tc>
      </w:tr>
    </w:tbl>
    <w:p w:rsidR="00236214" w:rsidP="00236214" w:rsidRDefault="00236214">
      <w:pPr>
        <w:rPr>
          <w:rFonts w:ascii="Arial" w:hAnsi="Arial" w:cs="Arial"/>
          <w:sz w:val="24"/>
          <w:szCs w:val="24"/>
        </w:rPr>
      </w:pPr>
    </w:p>
    <w:p w:rsidR="00236214" w:rsidP="007D0E16" w:rsidRDefault="00C35209">
      <w:pPr>
        <w:rPr>
          <w:rFonts w:ascii="Arial" w:hAnsi="Arial" w:cs="Arial"/>
          <w:sz w:val="24"/>
          <w:szCs w:val="24"/>
        </w:rPr>
      </w:pPr>
      <w:r>
        <w:rPr>
          <w:rFonts w:ascii="Arial" w:hAnsi="Arial" w:cs="Arial"/>
          <w:sz w:val="24"/>
          <w:szCs w:val="24"/>
        </w:rPr>
        <w:t xml:space="preserve">N.B. </w:t>
      </w:r>
      <w:r w:rsidR="00236214">
        <w:rPr>
          <w:rFonts w:ascii="Arial" w:hAnsi="Arial" w:cs="Arial"/>
          <w:sz w:val="24"/>
          <w:szCs w:val="24"/>
        </w:rPr>
        <w:t>The above total is still based on the October 2016 census</w:t>
      </w:r>
      <w:r w:rsidR="007C2F06">
        <w:rPr>
          <w:rFonts w:ascii="Arial" w:hAnsi="Arial" w:cs="Arial"/>
          <w:sz w:val="24"/>
          <w:szCs w:val="24"/>
        </w:rPr>
        <w:t xml:space="preserve">. Derbyshire’s 2018-19 Schools Block will be based on the above calculation, but with the pupil led element being </w:t>
      </w:r>
      <w:r w:rsidR="00236214">
        <w:rPr>
          <w:rFonts w:ascii="Arial" w:hAnsi="Arial" w:cs="Arial"/>
          <w:sz w:val="24"/>
          <w:szCs w:val="24"/>
        </w:rPr>
        <w:t>adjusted</w:t>
      </w:r>
      <w:r w:rsidR="00ED5EF6">
        <w:rPr>
          <w:rFonts w:ascii="Arial" w:hAnsi="Arial" w:cs="Arial"/>
          <w:sz w:val="24"/>
          <w:szCs w:val="24"/>
        </w:rPr>
        <w:t xml:space="preserve"> </w:t>
      </w:r>
      <w:r w:rsidR="005772E3">
        <w:rPr>
          <w:rFonts w:ascii="Arial" w:hAnsi="Arial" w:cs="Arial"/>
          <w:sz w:val="24"/>
          <w:szCs w:val="24"/>
        </w:rPr>
        <w:t xml:space="preserve">to reflect the </w:t>
      </w:r>
      <w:r w:rsidR="00236214">
        <w:rPr>
          <w:rFonts w:ascii="Arial" w:hAnsi="Arial" w:cs="Arial"/>
          <w:sz w:val="24"/>
          <w:szCs w:val="24"/>
        </w:rPr>
        <w:t xml:space="preserve">October 2017 </w:t>
      </w:r>
      <w:r>
        <w:rPr>
          <w:rFonts w:ascii="Arial" w:hAnsi="Arial" w:cs="Arial"/>
          <w:sz w:val="24"/>
          <w:szCs w:val="24"/>
        </w:rPr>
        <w:t>pupil count</w:t>
      </w:r>
      <w:r w:rsidR="00236214">
        <w:rPr>
          <w:rFonts w:ascii="Arial" w:hAnsi="Arial" w:cs="Arial"/>
          <w:sz w:val="24"/>
          <w:szCs w:val="24"/>
        </w:rPr>
        <w:t>.</w:t>
      </w:r>
      <w:r w:rsidR="00A62C7A">
        <w:rPr>
          <w:rFonts w:ascii="Arial" w:hAnsi="Arial" w:cs="Arial"/>
          <w:sz w:val="24"/>
          <w:szCs w:val="24"/>
        </w:rPr>
        <w:t xml:space="preserve">  </w:t>
      </w:r>
      <w:r w:rsidR="00D34BFB">
        <w:rPr>
          <w:rFonts w:ascii="Arial" w:hAnsi="Arial" w:cs="Arial"/>
          <w:sz w:val="24"/>
          <w:szCs w:val="24"/>
        </w:rPr>
        <w:t>Even w</w:t>
      </w:r>
      <w:r w:rsidR="00054DAE">
        <w:rPr>
          <w:rFonts w:ascii="Arial" w:hAnsi="Arial" w:cs="Arial"/>
          <w:sz w:val="24"/>
          <w:szCs w:val="24"/>
        </w:rPr>
        <w:t xml:space="preserve">ith this caveat, the </w:t>
      </w:r>
      <w:r w:rsidR="00236214">
        <w:rPr>
          <w:rFonts w:ascii="Arial" w:hAnsi="Arial" w:cs="Arial"/>
          <w:sz w:val="24"/>
          <w:szCs w:val="24"/>
        </w:rPr>
        <w:t xml:space="preserve">NFF </w:t>
      </w:r>
      <w:r w:rsidR="00054DAE">
        <w:rPr>
          <w:rFonts w:ascii="Arial" w:hAnsi="Arial" w:cs="Arial"/>
          <w:sz w:val="24"/>
          <w:szCs w:val="24"/>
        </w:rPr>
        <w:t xml:space="preserve">will directly </w:t>
      </w:r>
      <w:r w:rsidR="00236214">
        <w:rPr>
          <w:rFonts w:ascii="Arial" w:hAnsi="Arial" w:cs="Arial"/>
          <w:sz w:val="24"/>
          <w:szCs w:val="24"/>
        </w:rPr>
        <w:t xml:space="preserve">influence </w:t>
      </w:r>
      <w:r w:rsidR="00ED5EF6">
        <w:rPr>
          <w:rFonts w:ascii="Arial" w:hAnsi="Arial" w:cs="Arial"/>
          <w:sz w:val="24"/>
          <w:szCs w:val="24"/>
        </w:rPr>
        <w:t>the size of the Schools Block</w:t>
      </w:r>
      <w:r w:rsidR="00021111">
        <w:rPr>
          <w:rFonts w:ascii="Arial" w:hAnsi="Arial" w:cs="Arial"/>
          <w:sz w:val="24"/>
          <w:szCs w:val="24"/>
        </w:rPr>
        <w:t xml:space="preserve"> </w:t>
      </w:r>
      <w:r w:rsidR="00054DAE">
        <w:rPr>
          <w:rFonts w:ascii="Arial" w:hAnsi="Arial" w:cs="Arial"/>
          <w:sz w:val="24"/>
          <w:szCs w:val="24"/>
        </w:rPr>
        <w:t xml:space="preserve">for the </w:t>
      </w:r>
      <w:r w:rsidR="00021111">
        <w:rPr>
          <w:rFonts w:ascii="Arial" w:hAnsi="Arial" w:cs="Arial"/>
          <w:sz w:val="24"/>
          <w:szCs w:val="24"/>
        </w:rPr>
        <w:t>LA</w:t>
      </w:r>
      <w:r w:rsidR="00D34BFB">
        <w:rPr>
          <w:rFonts w:ascii="Arial" w:hAnsi="Arial" w:cs="Arial"/>
          <w:sz w:val="24"/>
          <w:szCs w:val="24"/>
        </w:rPr>
        <w:t xml:space="preserve"> from April 2018</w:t>
      </w:r>
      <w:r w:rsidR="00054DAE">
        <w:rPr>
          <w:rFonts w:ascii="Arial" w:hAnsi="Arial" w:cs="Arial"/>
          <w:sz w:val="24"/>
          <w:szCs w:val="24"/>
        </w:rPr>
        <w:t>.</w:t>
      </w:r>
    </w:p>
    <w:p w:rsidR="00D34BFB" w:rsidP="007D0E16" w:rsidRDefault="00D34BFB">
      <w:pPr>
        <w:rPr>
          <w:rFonts w:ascii="Arial" w:hAnsi="Arial" w:cs="Arial"/>
          <w:sz w:val="24"/>
          <w:szCs w:val="24"/>
        </w:rPr>
      </w:pPr>
    </w:p>
    <w:p w:rsidRPr="0000769B" w:rsidR="00DA5ADF" w:rsidRDefault="0000769B">
      <w:pPr>
        <w:rPr>
          <w:rFonts w:ascii="Arial" w:hAnsi="Arial" w:cs="Arial"/>
          <w:b/>
          <w:sz w:val="24"/>
          <w:szCs w:val="24"/>
          <w:u w:val="single"/>
        </w:rPr>
      </w:pPr>
      <w:r w:rsidRPr="0000769B">
        <w:rPr>
          <w:rFonts w:ascii="Arial" w:hAnsi="Arial" w:cs="Arial"/>
          <w:b/>
          <w:sz w:val="24"/>
          <w:szCs w:val="24"/>
        </w:rPr>
        <w:t>1.3</w:t>
      </w:r>
      <w:r w:rsidRPr="0000769B">
        <w:rPr>
          <w:rFonts w:ascii="Arial" w:hAnsi="Arial" w:cs="Arial"/>
          <w:b/>
          <w:sz w:val="24"/>
          <w:szCs w:val="24"/>
        </w:rPr>
        <w:tab/>
      </w:r>
      <w:r w:rsidRPr="0000769B">
        <w:rPr>
          <w:rFonts w:ascii="Arial" w:hAnsi="Arial" w:cs="Arial"/>
          <w:b/>
          <w:sz w:val="24"/>
          <w:szCs w:val="24"/>
          <w:u w:val="single"/>
        </w:rPr>
        <w:t>Other Schools Block matters</w:t>
      </w:r>
    </w:p>
    <w:p w:rsidR="008E654F" w:rsidP="007D0E16" w:rsidRDefault="008E654F">
      <w:pPr>
        <w:rPr>
          <w:rFonts w:ascii="Arial" w:hAnsi="Arial" w:cs="Arial"/>
          <w:sz w:val="24"/>
          <w:szCs w:val="24"/>
        </w:rPr>
      </w:pPr>
    </w:p>
    <w:p w:rsidR="007D0E16" w:rsidP="007D0E16" w:rsidRDefault="007D0E16">
      <w:pPr>
        <w:rPr>
          <w:rFonts w:ascii="Arial" w:hAnsi="Arial" w:cs="Arial"/>
          <w:sz w:val="24"/>
          <w:szCs w:val="24"/>
        </w:rPr>
      </w:pPr>
      <w:r w:rsidRPr="007D0E16">
        <w:rPr>
          <w:rFonts w:ascii="Arial" w:hAnsi="Arial" w:cs="Arial"/>
          <w:sz w:val="24"/>
          <w:szCs w:val="24"/>
        </w:rPr>
        <w:t xml:space="preserve">The </w:t>
      </w:r>
      <w:r w:rsidR="003D1984">
        <w:rPr>
          <w:rFonts w:ascii="Arial" w:hAnsi="Arial" w:cs="Arial"/>
          <w:sz w:val="24"/>
          <w:szCs w:val="24"/>
        </w:rPr>
        <w:t xml:space="preserve">NFF includes </w:t>
      </w:r>
      <w:r w:rsidRPr="007D0E16">
        <w:rPr>
          <w:rFonts w:ascii="Arial" w:hAnsi="Arial" w:cs="Arial"/>
          <w:sz w:val="24"/>
          <w:szCs w:val="24"/>
        </w:rPr>
        <w:t xml:space="preserve">a cap on gains of 3% per pupil </w:t>
      </w:r>
      <w:r w:rsidR="00C35209">
        <w:rPr>
          <w:rFonts w:ascii="Arial" w:hAnsi="Arial" w:cs="Arial"/>
          <w:sz w:val="24"/>
          <w:szCs w:val="24"/>
        </w:rPr>
        <w:t xml:space="preserve">for </w:t>
      </w:r>
      <w:r w:rsidRPr="007D0E16">
        <w:rPr>
          <w:rFonts w:ascii="Arial" w:hAnsi="Arial" w:cs="Arial"/>
          <w:sz w:val="24"/>
          <w:szCs w:val="24"/>
        </w:rPr>
        <w:t xml:space="preserve">2018-19 and 2019-20. N.B. any support provided to a school to ensure it receives the minimum per pupil allocation is excluded from these capping arrangements. </w:t>
      </w:r>
      <w:r w:rsidR="00905375">
        <w:rPr>
          <w:rFonts w:ascii="Arial" w:hAnsi="Arial" w:cs="Arial"/>
          <w:sz w:val="24"/>
          <w:szCs w:val="24"/>
        </w:rPr>
        <w:t xml:space="preserve"> </w:t>
      </w:r>
      <w:r w:rsidR="003D1984">
        <w:rPr>
          <w:rFonts w:ascii="Arial" w:hAnsi="Arial" w:cs="Arial"/>
          <w:sz w:val="24"/>
          <w:szCs w:val="24"/>
        </w:rPr>
        <w:t xml:space="preserve">Also </w:t>
      </w:r>
      <w:r w:rsidRPr="007D0E16">
        <w:rPr>
          <w:rFonts w:ascii="Arial" w:hAnsi="Arial" w:cs="Arial"/>
          <w:sz w:val="24"/>
          <w:szCs w:val="24"/>
        </w:rPr>
        <w:t xml:space="preserve">LAs </w:t>
      </w:r>
      <w:r w:rsidR="00D34BFB">
        <w:rPr>
          <w:rFonts w:ascii="Arial" w:hAnsi="Arial" w:cs="Arial"/>
          <w:sz w:val="24"/>
          <w:szCs w:val="24"/>
        </w:rPr>
        <w:t xml:space="preserve">are allowed to </w:t>
      </w:r>
      <w:r w:rsidRPr="007D0E16">
        <w:rPr>
          <w:rFonts w:ascii="Arial" w:hAnsi="Arial" w:cs="Arial"/>
          <w:sz w:val="24"/>
          <w:szCs w:val="24"/>
        </w:rPr>
        <w:t xml:space="preserve">transfer up to 0.5% of the Schools Block </w:t>
      </w:r>
      <w:r w:rsidR="003D1984">
        <w:rPr>
          <w:rFonts w:ascii="Arial" w:hAnsi="Arial" w:cs="Arial"/>
          <w:sz w:val="24"/>
          <w:szCs w:val="24"/>
        </w:rPr>
        <w:t xml:space="preserve">to </w:t>
      </w:r>
      <w:r w:rsidRPr="007D0E16">
        <w:rPr>
          <w:rFonts w:ascii="Arial" w:hAnsi="Arial" w:cs="Arial"/>
          <w:sz w:val="24"/>
          <w:szCs w:val="24"/>
        </w:rPr>
        <w:lastRenderedPageBreak/>
        <w:t>elsewhere within the DSG</w:t>
      </w:r>
      <w:r w:rsidR="003D1984">
        <w:rPr>
          <w:rFonts w:ascii="Arial" w:hAnsi="Arial" w:cs="Arial"/>
          <w:sz w:val="24"/>
          <w:szCs w:val="24"/>
        </w:rPr>
        <w:t xml:space="preserve"> e.g. to meet high need pressures. </w:t>
      </w:r>
      <w:r w:rsidR="00D34BFB">
        <w:rPr>
          <w:rFonts w:ascii="Arial" w:hAnsi="Arial" w:cs="Arial"/>
          <w:sz w:val="24"/>
          <w:szCs w:val="24"/>
        </w:rPr>
        <w:t>However, t</w:t>
      </w:r>
      <w:r w:rsidR="003D1984">
        <w:rPr>
          <w:rFonts w:ascii="Arial" w:hAnsi="Arial" w:cs="Arial"/>
          <w:sz w:val="24"/>
          <w:szCs w:val="24"/>
        </w:rPr>
        <w:t xml:space="preserve">his can only be done </w:t>
      </w:r>
      <w:r w:rsidRPr="007D0E16">
        <w:rPr>
          <w:rFonts w:ascii="Arial" w:hAnsi="Arial" w:cs="Arial"/>
          <w:sz w:val="24"/>
          <w:szCs w:val="24"/>
        </w:rPr>
        <w:t xml:space="preserve">with the approval of the Schools Forum </w:t>
      </w:r>
      <w:r w:rsidR="003D1984">
        <w:rPr>
          <w:rFonts w:ascii="Arial" w:hAnsi="Arial" w:cs="Arial"/>
          <w:sz w:val="24"/>
          <w:szCs w:val="24"/>
        </w:rPr>
        <w:t xml:space="preserve">following </w:t>
      </w:r>
      <w:r w:rsidRPr="007D0E16">
        <w:rPr>
          <w:rFonts w:ascii="Arial" w:hAnsi="Arial" w:cs="Arial"/>
          <w:sz w:val="24"/>
          <w:szCs w:val="24"/>
        </w:rPr>
        <w:t>consult</w:t>
      </w:r>
      <w:r w:rsidR="003D1984">
        <w:rPr>
          <w:rFonts w:ascii="Arial" w:hAnsi="Arial" w:cs="Arial"/>
          <w:sz w:val="24"/>
          <w:szCs w:val="24"/>
        </w:rPr>
        <w:t xml:space="preserve">ation with </w:t>
      </w:r>
      <w:r w:rsidRPr="007D0E16">
        <w:rPr>
          <w:rFonts w:ascii="Arial" w:hAnsi="Arial" w:cs="Arial"/>
          <w:sz w:val="24"/>
          <w:szCs w:val="24"/>
        </w:rPr>
        <w:t xml:space="preserve">schools </w:t>
      </w:r>
      <w:r w:rsidR="006171B5">
        <w:rPr>
          <w:rFonts w:ascii="Arial" w:hAnsi="Arial" w:cs="Arial"/>
          <w:sz w:val="24"/>
          <w:szCs w:val="24"/>
        </w:rPr>
        <w:t xml:space="preserve">and </w:t>
      </w:r>
      <w:r w:rsidRPr="007D0E16">
        <w:rPr>
          <w:rFonts w:ascii="Arial" w:hAnsi="Arial" w:cs="Arial"/>
          <w:sz w:val="24"/>
          <w:szCs w:val="24"/>
        </w:rPr>
        <w:t>academies.</w:t>
      </w:r>
    </w:p>
    <w:p w:rsidR="009967D4" w:rsidP="007D0E16" w:rsidRDefault="009967D4">
      <w:pPr>
        <w:rPr>
          <w:rFonts w:ascii="Arial" w:hAnsi="Arial" w:cs="Arial"/>
          <w:sz w:val="24"/>
          <w:szCs w:val="24"/>
        </w:rPr>
      </w:pPr>
    </w:p>
    <w:p w:rsidRPr="009967D4" w:rsidR="009967D4" w:rsidP="009967D4" w:rsidRDefault="009967D4">
      <w:pPr>
        <w:spacing w:after="160"/>
        <w:rPr>
          <w:rFonts w:ascii="Arial" w:hAnsi="Arial" w:cs="Arial"/>
          <w:b/>
          <w:sz w:val="24"/>
          <w:szCs w:val="24"/>
        </w:rPr>
      </w:pPr>
      <w:r w:rsidRPr="009967D4">
        <w:rPr>
          <w:rFonts w:ascii="Arial" w:hAnsi="Arial" w:cs="Arial"/>
          <w:b/>
          <w:sz w:val="24"/>
          <w:szCs w:val="24"/>
        </w:rPr>
        <w:t>2.</w:t>
      </w:r>
      <w:r w:rsidRPr="009967D4">
        <w:rPr>
          <w:rFonts w:ascii="Arial" w:hAnsi="Arial" w:cs="Arial"/>
          <w:b/>
          <w:sz w:val="24"/>
          <w:szCs w:val="24"/>
        </w:rPr>
        <w:tab/>
      </w:r>
      <w:r w:rsidRPr="00407DA0" w:rsidR="00407DA0">
        <w:rPr>
          <w:rFonts w:ascii="Arial" w:hAnsi="Arial" w:cs="Arial"/>
          <w:b/>
          <w:sz w:val="24"/>
          <w:szCs w:val="24"/>
          <w:u w:val="single"/>
        </w:rPr>
        <w:t>Formula i</w:t>
      </w:r>
      <w:r w:rsidRPr="00407DA0">
        <w:rPr>
          <w:rFonts w:ascii="Arial" w:hAnsi="Arial" w:cs="Arial"/>
          <w:b/>
          <w:sz w:val="24"/>
          <w:szCs w:val="24"/>
          <w:u w:val="single"/>
        </w:rPr>
        <w:t>s</w:t>
      </w:r>
      <w:r w:rsidRPr="009967D4">
        <w:rPr>
          <w:rFonts w:ascii="Arial" w:hAnsi="Arial" w:cs="Arial"/>
          <w:b/>
          <w:sz w:val="24"/>
          <w:szCs w:val="24"/>
          <w:u w:val="single"/>
        </w:rPr>
        <w:t>sues to consider locally for 2018-19 and 2019-20</w:t>
      </w:r>
    </w:p>
    <w:p w:rsidRPr="00D3474C" w:rsidR="00D3474C" w:rsidP="007720D3" w:rsidRDefault="00D3474C">
      <w:pPr>
        <w:rPr>
          <w:rFonts w:ascii="Arial" w:hAnsi="Arial" w:cs="Arial"/>
          <w:b/>
          <w:sz w:val="24"/>
          <w:szCs w:val="24"/>
        </w:rPr>
      </w:pPr>
      <w:r w:rsidRPr="00D3474C">
        <w:rPr>
          <w:rFonts w:ascii="Arial" w:hAnsi="Arial" w:cs="Arial"/>
          <w:b/>
          <w:sz w:val="24"/>
          <w:szCs w:val="24"/>
        </w:rPr>
        <w:t>2.1</w:t>
      </w:r>
      <w:r w:rsidRPr="00D3474C">
        <w:rPr>
          <w:rFonts w:ascii="Arial" w:hAnsi="Arial" w:cs="Arial"/>
          <w:b/>
          <w:sz w:val="24"/>
          <w:szCs w:val="24"/>
        </w:rPr>
        <w:tab/>
      </w:r>
      <w:r w:rsidRPr="00D3474C">
        <w:rPr>
          <w:rFonts w:ascii="Arial" w:hAnsi="Arial" w:cs="Arial"/>
          <w:b/>
          <w:sz w:val="24"/>
          <w:szCs w:val="24"/>
          <w:u w:val="single"/>
        </w:rPr>
        <w:t>M</w:t>
      </w:r>
      <w:r w:rsidR="001C28A0">
        <w:rPr>
          <w:rFonts w:ascii="Arial" w:hAnsi="Arial" w:cs="Arial"/>
          <w:b/>
          <w:sz w:val="24"/>
          <w:szCs w:val="24"/>
          <w:u w:val="single"/>
        </w:rPr>
        <w:t xml:space="preserve">inimum Funding Guarantee (MFG) </w:t>
      </w:r>
      <w:r w:rsidRPr="00D3474C">
        <w:rPr>
          <w:rFonts w:ascii="Arial" w:hAnsi="Arial" w:cs="Arial"/>
          <w:b/>
          <w:sz w:val="24"/>
          <w:szCs w:val="24"/>
          <w:u w:val="single"/>
        </w:rPr>
        <w:t>rate</w:t>
      </w:r>
    </w:p>
    <w:p w:rsidRPr="00BA1FAE" w:rsidR="00D3474C" w:rsidP="007720D3" w:rsidRDefault="00D3474C">
      <w:pPr>
        <w:rPr>
          <w:rFonts w:ascii="Arial" w:hAnsi="Arial" w:cs="Arial"/>
          <w:sz w:val="18"/>
          <w:szCs w:val="24"/>
        </w:rPr>
      </w:pPr>
    </w:p>
    <w:p w:rsidR="0010699E" w:rsidP="00BA2071" w:rsidRDefault="005772E3">
      <w:pPr>
        <w:rPr>
          <w:rFonts w:ascii="Arial" w:hAnsi="Arial" w:cs="Arial"/>
          <w:sz w:val="24"/>
          <w:szCs w:val="24"/>
        </w:rPr>
      </w:pPr>
      <w:r>
        <w:rPr>
          <w:rFonts w:ascii="Arial" w:hAnsi="Arial" w:cs="Arial"/>
          <w:sz w:val="24"/>
          <w:szCs w:val="24"/>
        </w:rPr>
        <w:t xml:space="preserve">The purpose of </w:t>
      </w:r>
      <w:r w:rsidR="00C35209">
        <w:rPr>
          <w:rFonts w:ascii="Arial" w:hAnsi="Arial" w:cs="Arial"/>
          <w:sz w:val="24"/>
          <w:szCs w:val="24"/>
        </w:rPr>
        <w:t xml:space="preserve">the </w:t>
      </w:r>
      <w:r w:rsidR="007720D3">
        <w:rPr>
          <w:rFonts w:ascii="Arial" w:hAnsi="Arial" w:cs="Arial"/>
          <w:sz w:val="24"/>
          <w:szCs w:val="24"/>
        </w:rPr>
        <w:t xml:space="preserve">MFG is to limit the year on </w:t>
      </w:r>
      <w:r w:rsidR="00BA1FAE">
        <w:rPr>
          <w:rFonts w:ascii="Arial" w:hAnsi="Arial" w:cs="Arial"/>
          <w:sz w:val="24"/>
          <w:szCs w:val="24"/>
        </w:rPr>
        <w:t xml:space="preserve">year </w:t>
      </w:r>
      <w:r>
        <w:rPr>
          <w:rFonts w:ascii="Arial" w:hAnsi="Arial" w:cs="Arial"/>
          <w:sz w:val="24"/>
          <w:szCs w:val="24"/>
        </w:rPr>
        <w:t xml:space="preserve">change </w:t>
      </w:r>
      <w:r w:rsidR="007720D3">
        <w:rPr>
          <w:rFonts w:ascii="Arial" w:hAnsi="Arial" w:cs="Arial"/>
          <w:sz w:val="24"/>
          <w:szCs w:val="24"/>
        </w:rPr>
        <w:t>in per-pupil funding</w:t>
      </w:r>
      <w:r w:rsidR="00BA1FAE">
        <w:rPr>
          <w:rFonts w:ascii="Arial" w:hAnsi="Arial" w:cs="Arial"/>
          <w:sz w:val="24"/>
          <w:szCs w:val="24"/>
        </w:rPr>
        <w:t xml:space="preserve"> </w:t>
      </w:r>
      <w:r w:rsidR="009F7B2D">
        <w:rPr>
          <w:rFonts w:ascii="Arial" w:hAnsi="Arial" w:cs="Arial"/>
          <w:sz w:val="24"/>
          <w:szCs w:val="24"/>
        </w:rPr>
        <w:t xml:space="preserve">for an individual school </w:t>
      </w:r>
      <w:r w:rsidR="00BA1FAE">
        <w:rPr>
          <w:rFonts w:ascii="Arial" w:hAnsi="Arial" w:cs="Arial"/>
          <w:sz w:val="24"/>
          <w:szCs w:val="24"/>
        </w:rPr>
        <w:t>thus provid</w:t>
      </w:r>
      <w:r w:rsidR="000614FC">
        <w:rPr>
          <w:rFonts w:ascii="Arial" w:hAnsi="Arial" w:cs="Arial"/>
          <w:sz w:val="24"/>
          <w:szCs w:val="24"/>
        </w:rPr>
        <w:t xml:space="preserve">ing </w:t>
      </w:r>
      <w:r w:rsidR="00171BC6">
        <w:rPr>
          <w:rFonts w:ascii="Arial" w:hAnsi="Arial" w:cs="Arial"/>
          <w:sz w:val="24"/>
          <w:szCs w:val="24"/>
        </w:rPr>
        <w:t xml:space="preserve">greater </w:t>
      </w:r>
      <w:r w:rsidR="000614FC">
        <w:rPr>
          <w:rFonts w:ascii="Arial" w:hAnsi="Arial" w:cs="Arial"/>
          <w:sz w:val="24"/>
          <w:szCs w:val="24"/>
        </w:rPr>
        <w:t>funding stability</w:t>
      </w:r>
      <w:r w:rsidR="007720D3">
        <w:rPr>
          <w:rFonts w:ascii="Arial" w:hAnsi="Arial" w:cs="Arial"/>
          <w:sz w:val="24"/>
          <w:szCs w:val="24"/>
        </w:rPr>
        <w:t>.</w:t>
      </w:r>
      <w:r w:rsidR="009F7B2D">
        <w:rPr>
          <w:rFonts w:ascii="Arial" w:hAnsi="Arial" w:cs="Arial"/>
          <w:sz w:val="24"/>
          <w:szCs w:val="24"/>
        </w:rPr>
        <w:t xml:space="preserve">  </w:t>
      </w:r>
      <w:r w:rsidR="001C28A0">
        <w:rPr>
          <w:rFonts w:ascii="Arial" w:hAnsi="Arial" w:cs="Arial"/>
          <w:sz w:val="24"/>
          <w:szCs w:val="24"/>
        </w:rPr>
        <w:t xml:space="preserve">For 2018-19 </w:t>
      </w:r>
      <w:r w:rsidR="007720D3">
        <w:rPr>
          <w:rFonts w:ascii="Arial" w:hAnsi="Arial" w:cs="Arial"/>
          <w:sz w:val="24"/>
          <w:szCs w:val="24"/>
        </w:rPr>
        <w:t>LAs can set the</w:t>
      </w:r>
      <w:r w:rsidR="001C28A0">
        <w:rPr>
          <w:rFonts w:ascii="Arial" w:hAnsi="Arial" w:cs="Arial"/>
          <w:sz w:val="24"/>
          <w:szCs w:val="24"/>
        </w:rPr>
        <w:t xml:space="preserve">ir own </w:t>
      </w:r>
      <w:r w:rsidR="007720D3">
        <w:rPr>
          <w:rFonts w:ascii="Arial" w:hAnsi="Arial" w:cs="Arial"/>
          <w:sz w:val="24"/>
          <w:szCs w:val="24"/>
        </w:rPr>
        <w:t xml:space="preserve">rate at between </w:t>
      </w:r>
      <w:r w:rsidR="003E0481">
        <w:rPr>
          <w:rFonts w:ascii="Arial" w:hAnsi="Arial" w:cs="Arial"/>
          <w:sz w:val="24"/>
          <w:szCs w:val="24"/>
        </w:rPr>
        <w:t xml:space="preserve">plus 0.5% </w:t>
      </w:r>
      <w:r w:rsidR="007720D3">
        <w:rPr>
          <w:rFonts w:ascii="Arial" w:hAnsi="Arial" w:cs="Arial"/>
          <w:sz w:val="24"/>
          <w:szCs w:val="24"/>
        </w:rPr>
        <w:t>and minus 1.5% per pupil</w:t>
      </w:r>
      <w:r w:rsidR="000614FC">
        <w:rPr>
          <w:rFonts w:ascii="Arial" w:hAnsi="Arial" w:cs="Arial"/>
          <w:sz w:val="24"/>
          <w:szCs w:val="24"/>
        </w:rPr>
        <w:t>, but the same rate has to apply to both sectors</w:t>
      </w:r>
      <w:r w:rsidR="007720D3">
        <w:rPr>
          <w:rFonts w:ascii="Arial" w:hAnsi="Arial" w:cs="Arial"/>
          <w:sz w:val="24"/>
          <w:szCs w:val="24"/>
        </w:rPr>
        <w:t xml:space="preserve">. </w:t>
      </w:r>
      <w:r w:rsidR="009F7B2D">
        <w:rPr>
          <w:rFonts w:ascii="Arial" w:hAnsi="Arial" w:cs="Arial"/>
          <w:sz w:val="24"/>
          <w:szCs w:val="24"/>
        </w:rPr>
        <w:t xml:space="preserve">The </w:t>
      </w:r>
      <w:r w:rsidR="00BE00A0">
        <w:rPr>
          <w:rFonts w:ascii="Arial" w:hAnsi="Arial" w:cs="Arial"/>
          <w:sz w:val="24"/>
          <w:szCs w:val="24"/>
        </w:rPr>
        <w:t xml:space="preserve">MFG </w:t>
      </w:r>
      <w:r w:rsidR="009F7B2D">
        <w:rPr>
          <w:rFonts w:ascii="Arial" w:hAnsi="Arial" w:cs="Arial"/>
          <w:sz w:val="24"/>
          <w:szCs w:val="24"/>
        </w:rPr>
        <w:t xml:space="preserve">rate </w:t>
      </w:r>
      <w:r w:rsidR="00BE00A0">
        <w:rPr>
          <w:rFonts w:ascii="Arial" w:hAnsi="Arial" w:cs="Arial"/>
          <w:sz w:val="24"/>
          <w:szCs w:val="24"/>
        </w:rPr>
        <w:t xml:space="preserve">is therefore a key issue as, whatever decisions are taken regarding the LA’s formula, the impact for many schools, particularly those that do less well under the NFF, will be largely determined by the MFG rate.  </w:t>
      </w:r>
    </w:p>
    <w:p w:rsidR="00F62C1C" w:rsidP="00BA2071" w:rsidRDefault="00F62C1C">
      <w:pPr>
        <w:rPr>
          <w:rFonts w:ascii="Arial" w:hAnsi="Arial" w:cs="Arial"/>
          <w:sz w:val="24"/>
          <w:szCs w:val="24"/>
        </w:rPr>
      </w:pPr>
    </w:p>
    <w:p w:rsidR="0010699E" w:rsidP="00BA2071" w:rsidRDefault="007720D3">
      <w:pPr>
        <w:rPr>
          <w:rFonts w:ascii="Arial" w:hAnsi="Arial" w:cs="Arial"/>
          <w:sz w:val="24"/>
          <w:szCs w:val="24"/>
        </w:rPr>
      </w:pPr>
      <w:r>
        <w:rPr>
          <w:rFonts w:ascii="Arial" w:hAnsi="Arial" w:cs="Arial"/>
          <w:sz w:val="24"/>
          <w:szCs w:val="24"/>
        </w:rPr>
        <w:t xml:space="preserve">A </w:t>
      </w:r>
      <w:r w:rsidR="009F7B2D">
        <w:rPr>
          <w:rFonts w:ascii="Arial" w:hAnsi="Arial" w:cs="Arial"/>
          <w:sz w:val="24"/>
          <w:szCs w:val="24"/>
        </w:rPr>
        <w:t xml:space="preserve">plus </w:t>
      </w:r>
      <w:r w:rsidR="003E0481">
        <w:rPr>
          <w:rFonts w:ascii="Arial" w:hAnsi="Arial" w:cs="Arial"/>
          <w:sz w:val="24"/>
          <w:szCs w:val="24"/>
        </w:rPr>
        <w:t xml:space="preserve">0.5% </w:t>
      </w:r>
      <w:r w:rsidR="009F7B2D">
        <w:rPr>
          <w:rFonts w:ascii="Arial" w:hAnsi="Arial" w:cs="Arial"/>
          <w:sz w:val="24"/>
          <w:szCs w:val="24"/>
        </w:rPr>
        <w:t xml:space="preserve">per pupil </w:t>
      </w:r>
      <w:r w:rsidR="003475D0">
        <w:rPr>
          <w:rFonts w:ascii="Arial" w:hAnsi="Arial" w:cs="Arial"/>
          <w:sz w:val="24"/>
          <w:szCs w:val="24"/>
        </w:rPr>
        <w:t xml:space="preserve">MFG </w:t>
      </w:r>
      <w:r>
        <w:rPr>
          <w:rFonts w:ascii="Arial" w:hAnsi="Arial" w:cs="Arial"/>
          <w:sz w:val="24"/>
          <w:szCs w:val="24"/>
        </w:rPr>
        <w:t>provides the greatest level of protection</w:t>
      </w:r>
      <w:r w:rsidR="003E0481">
        <w:rPr>
          <w:rFonts w:ascii="Arial" w:hAnsi="Arial" w:cs="Arial"/>
          <w:sz w:val="24"/>
          <w:szCs w:val="24"/>
        </w:rPr>
        <w:t xml:space="preserve"> and </w:t>
      </w:r>
      <w:r w:rsidR="009F7B2D">
        <w:rPr>
          <w:rFonts w:ascii="Arial" w:hAnsi="Arial" w:cs="Arial"/>
          <w:sz w:val="24"/>
          <w:szCs w:val="24"/>
        </w:rPr>
        <w:t xml:space="preserve">ensures </w:t>
      </w:r>
      <w:r w:rsidR="003E0481">
        <w:rPr>
          <w:rFonts w:ascii="Arial" w:hAnsi="Arial" w:cs="Arial"/>
          <w:sz w:val="24"/>
          <w:szCs w:val="24"/>
        </w:rPr>
        <w:t xml:space="preserve">an increase </w:t>
      </w:r>
      <w:r w:rsidR="009F7B2D">
        <w:rPr>
          <w:rFonts w:ascii="Arial" w:hAnsi="Arial" w:cs="Arial"/>
          <w:sz w:val="24"/>
          <w:szCs w:val="24"/>
        </w:rPr>
        <w:t xml:space="preserve">in budget </w:t>
      </w:r>
      <w:r w:rsidR="003E0481">
        <w:rPr>
          <w:rFonts w:ascii="Arial" w:hAnsi="Arial" w:cs="Arial"/>
          <w:sz w:val="24"/>
          <w:szCs w:val="24"/>
        </w:rPr>
        <w:t>for all schools, irrespective of the local formula changes</w:t>
      </w:r>
      <w:r>
        <w:rPr>
          <w:rFonts w:ascii="Arial" w:hAnsi="Arial" w:cs="Arial"/>
          <w:sz w:val="24"/>
          <w:szCs w:val="24"/>
        </w:rPr>
        <w:t xml:space="preserve">.  However, as this protection has to be funded, </w:t>
      </w:r>
      <w:r w:rsidR="00C35209">
        <w:rPr>
          <w:rFonts w:ascii="Arial" w:hAnsi="Arial" w:cs="Arial"/>
          <w:sz w:val="24"/>
          <w:szCs w:val="24"/>
        </w:rPr>
        <w:t xml:space="preserve">one consequence is that </w:t>
      </w:r>
      <w:r>
        <w:rPr>
          <w:rFonts w:ascii="Arial" w:hAnsi="Arial" w:cs="Arial"/>
          <w:sz w:val="24"/>
          <w:szCs w:val="24"/>
        </w:rPr>
        <w:t xml:space="preserve">less funding </w:t>
      </w:r>
      <w:r w:rsidR="001C28A0">
        <w:rPr>
          <w:rFonts w:ascii="Arial" w:hAnsi="Arial" w:cs="Arial"/>
          <w:sz w:val="24"/>
          <w:szCs w:val="24"/>
        </w:rPr>
        <w:t xml:space="preserve">is allocated via </w:t>
      </w:r>
      <w:r w:rsidR="00C35209">
        <w:rPr>
          <w:rFonts w:ascii="Arial" w:hAnsi="Arial" w:cs="Arial"/>
          <w:sz w:val="24"/>
          <w:szCs w:val="24"/>
        </w:rPr>
        <w:t xml:space="preserve">what might be termed </w:t>
      </w:r>
      <w:r w:rsidR="001C28A0">
        <w:rPr>
          <w:rFonts w:ascii="Arial" w:hAnsi="Arial" w:cs="Arial"/>
          <w:sz w:val="24"/>
          <w:szCs w:val="24"/>
        </w:rPr>
        <w:t>the “pure” formula</w:t>
      </w:r>
      <w:r>
        <w:rPr>
          <w:rFonts w:ascii="Arial" w:hAnsi="Arial" w:cs="Arial"/>
          <w:sz w:val="24"/>
          <w:szCs w:val="24"/>
        </w:rPr>
        <w:t xml:space="preserve">. Conversely, an MFG of minus 1.5% allows more funding </w:t>
      </w:r>
      <w:r w:rsidR="00171BC6">
        <w:rPr>
          <w:rFonts w:ascii="Arial" w:hAnsi="Arial" w:cs="Arial"/>
          <w:sz w:val="24"/>
          <w:szCs w:val="24"/>
        </w:rPr>
        <w:t xml:space="preserve">to be allocated via the </w:t>
      </w:r>
      <w:r w:rsidR="00905375">
        <w:rPr>
          <w:rFonts w:ascii="Arial" w:hAnsi="Arial" w:cs="Arial"/>
          <w:sz w:val="24"/>
          <w:szCs w:val="24"/>
        </w:rPr>
        <w:t>pure formula</w:t>
      </w:r>
      <w:r w:rsidR="009F7B2D">
        <w:rPr>
          <w:rFonts w:ascii="Arial" w:hAnsi="Arial" w:cs="Arial"/>
          <w:sz w:val="24"/>
          <w:szCs w:val="24"/>
        </w:rPr>
        <w:t xml:space="preserve"> but allows some schools to lose funding year on year</w:t>
      </w:r>
      <w:r w:rsidR="00905375">
        <w:rPr>
          <w:rFonts w:ascii="Arial" w:hAnsi="Arial" w:cs="Arial"/>
          <w:sz w:val="24"/>
          <w:szCs w:val="24"/>
        </w:rPr>
        <w:t>.</w:t>
      </w:r>
      <w:r>
        <w:rPr>
          <w:rFonts w:ascii="Arial" w:hAnsi="Arial" w:cs="Arial"/>
          <w:sz w:val="24"/>
          <w:szCs w:val="24"/>
        </w:rPr>
        <w:t xml:space="preserve"> </w:t>
      </w:r>
      <w:r w:rsidR="00BA1FAE">
        <w:rPr>
          <w:rFonts w:ascii="Arial" w:hAnsi="Arial" w:cs="Arial"/>
          <w:sz w:val="24"/>
          <w:szCs w:val="24"/>
        </w:rPr>
        <w:t xml:space="preserve"> </w:t>
      </w:r>
    </w:p>
    <w:p w:rsidR="00F62C1C" w:rsidP="00BA2071" w:rsidRDefault="00F62C1C">
      <w:pPr>
        <w:rPr>
          <w:rFonts w:ascii="Arial" w:hAnsi="Arial" w:cs="Arial"/>
          <w:sz w:val="24"/>
          <w:szCs w:val="24"/>
        </w:rPr>
      </w:pPr>
    </w:p>
    <w:p w:rsidR="00F62C1C" w:rsidP="00BA2071" w:rsidRDefault="00F62C1C">
      <w:pPr>
        <w:rPr>
          <w:rFonts w:ascii="Arial" w:hAnsi="Arial" w:cs="Arial"/>
          <w:sz w:val="24"/>
          <w:szCs w:val="24"/>
        </w:rPr>
      </w:pPr>
      <w:r>
        <w:rPr>
          <w:rFonts w:ascii="Arial" w:hAnsi="Arial" w:cs="Arial"/>
          <w:sz w:val="24"/>
          <w:szCs w:val="24"/>
        </w:rPr>
        <w:t xml:space="preserve">Two </w:t>
      </w:r>
      <w:r w:rsidR="009F7B2D">
        <w:rPr>
          <w:rFonts w:ascii="Arial" w:hAnsi="Arial" w:cs="Arial"/>
          <w:sz w:val="24"/>
          <w:szCs w:val="24"/>
        </w:rPr>
        <w:t xml:space="preserve">other </w:t>
      </w:r>
      <w:r>
        <w:rPr>
          <w:rFonts w:ascii="Arial" w:hAnsi="Arial" w:cs="Arial"/>
          <w:sz w:val="24"/>
          <w:szCs w:val="24"/>
        </w:rPr>
        <w:t xml:space="preserve">points need to be remembered. First, the MFG is a per-pupil calculation </w:t>
      </w:r>
      <w:r w:rsidR="009F7B2D">
        <w:rPr>
          <w:rFonts w:ascii="Arial" w:hAnsi="Arial" w:cs="Arial"/>
          <w:sz w:val="24"/>
          <w:szCs w:val="24"/>
        </w:rPr>
        <w:t xml:space="preserve">which </w:t>
      </w:r>
      <w:r>
        <w:rPr>
          <w:rFonts w:ascii="Arial" w:hAnsi="Arial" w:cs="Arial"/>
          <w:sz w:val="24"/>
          <w:szCs w:val="24"/>
        </w:rPr>
        <w:t xml:space="preserve">does not therefore protect schools from </w:t>
      </w:r>
      <w:r w:rsidR="009F7B2D">
        <w:rPr>
          <w:rFonts w:ascii="Arial" w:hAnsi="Arial" w:cs="Arial"/>
          <w:sz w:val="24"/>
          <w:szCs w:val="24"/>
        </w:rPr>
        <w:t xml:space="preserve">the impact of </w:t>
      </w:r>
      <w:r>
        <w:rPr>
          <w:rFonts w:ascii="Arial" w:hAnsi="Arial" w:cs="Arial"/>
          <w:sz w:val="24"/>
          <w:szCs w:val="24"/>
        </w:rPr>
        <w:t xml:space="preserve">reductions in the number of pupils on roll: </w:t>
      </w:r>
      <w:r w:rsidRPr="0064676F">
        <w:rPr>
          <w:rFonts w:ascii="Arial" w:hAnsi="Arial" w:cs="Arial"/>
          <w:b/>
          <w:sz w:val="24"/>
          <w:szCs w:val="24"/>
        </w:rPr>
        <w:t>a reduced NOR will still result in a reduced budget.</w:t>
      </w:r>
      <w:r>
        <w:rPr>
          <w:rFonts w:ascii="Arial" w:hAnsi="Arial" w:cs="Arial"/>
          <w:sz w:val="24"/>
          <w:szCs w:val="24"/>
        </w:rPr>
        <w:t xml:space="preserve"> </w:t>
      </w:r>
    </w:p>
    <w:p w:rsidR="00F62C1C" w:rsidP="00BA2071" w:rsidRDefault="00F62C1C">
      <w:pPr>
        <w:rPr>
          <w:rFonts w:ascii="Arial" w:hAnsi="Arial" w:cs="Arial"/>
          <w:sz w:val="24"/>
          <w:szCs w:val="24"/>
        </w:rPr>
      </w:pPr>
    </w:p>
    <w:p w:rsidR="00F62C1C" w:rsidP="00BA2071" w:rsidRDefault="00866E93">
      <w:pPr>
        <w:rPr>
          <w:rFonts w:ascii="Arial" w:hAnsi="Arial" w:cs="Arial"/>
          <w:sz w:val="24"/>
          <w:szCs w:val="24"/>
        </w:rPr>
      </w:pPr>
      <w:r>
        <w:rPr>
          <w:rFonts w:ascii="Arial" w:hAnsi="Arial" w:cs="Arial"/>
          <w:sz w:val="24"/>
          <w:szCs w:val="24"/>
        </w:rPr>
        <w:t xml:space="preserve">The second point is </w:t>
      </w:r>
      <w:r w:rsidR="00F62C1C">
        <w:rPr>
          <w:rFonts w:ascii="Arial" w:hAnsi="Arial" w:cs="Arial"/>
          <w:sz w:val="24"/>
          <w:szCs w:val="24"/>
        </w:rPr>
        <w:t xml:space="preserve">that the MFG only applies to a proportion of a school’s budget, the </w:t>
      </w:r>
      <w:r w:rsidR="00B817AB">
        <w:rPr>
          <w:rFonts w:ascii="Arial" w:hAnsi="Arial" w:cs="Arial"/>
          <w:sz w:val="24"/>
          <w:szCs w:val="24"/>
        </w:rPr>
        <w:t xml:space="preserve">lump sum and rates </w:t>
      </w:r>
      <w:r w:rsidR="00F62C1C">
        <w:rPr>
          <w:rFonts w:ascii="Arial" w:hAnsi="Arial" w:cs="Arial"/>
          <w:sz w:val="24"/>
          <w:szCs w:val="24"/>
        </w:rPr>
        <w:t xml:space="preserve">allocations are excluded. These excluded elements vary in importance </w:t>
      </w:r>
      <w:r>
        <w:rPr>
          <w:rFonts w:ascii="Arial" w:hAnsi="Arial" w:cs="Arial"/>
          <w:sz w:val="24"/>
          <w:szCs w:val="24"/>
        </w:rPr>
        <w:t xml:space="preserve">at individual school level, </w:t>
      </w:r>
      <w:r w:rsidR="00F62C1C">
        <w:rPr>
          <w:rFonts w:ascii="Arial" w:hAnsi="Arial" w:cs="Arial"/>
          <w:sz w:val="24"/>
          <w:szCs w:val="24"/>
        </w:rPr>
        <w:t xml:space="preserve">for </w:t>
      </w:r>
      <w:r>
        <w:rPr>
          <w:rFonts w:ascii="Arial" w:hAnsi="Arial" w:cs="Arial"/>
          <w:sz w:val="24"/>
          <w:szCs w:val="24"/>
        </w:rPr>
        <w:t xml:space="preserve">example for </w:t>
      </w:r>
      <w:r w:rsidR="00F62C1C">
        <w:rPr>
          <w:rFonts w:ascii="Arial" w:hAnsi="Arial" w:cs="Arial"/>
          <w:sz w:val="24"/>
          <w:szCs w:val="24"/>
        </w:rPr>
        <w:t>small schools the lump sum is far more important than for large schools.</w:t>
      </w:r>
      <w:r w:rsidR="0064676F">
        <w:rPr>
          <w:rFonts w:ascii="Arial" w:hAnsi="Arial" w:cs="Arial"/>
          <w:sz w:val="24"/>
          <w:szCs w:val="24"/>
        </w:rPr>
        <w:t xml:space="preserve"> In the primary sector t</w:t>
      </w:r>
      <w:r w:rsidR="00F62C1C">
        <w:rPr>
          <w:rFonts w:ascii="Arial" w:hAnsi="Arial" w:cs="Arial"/>
          <w:sz w:val="24"/>
          <w:szCs w:val="24"/>
        </w:rPr>
        <w:t>he lump sum and rates elements</w:t>
      </w:r>
      <w:r w:rsidR="0064676F">
        <w:rPr>
          <w:rFonts w:ascii="Arial" w:hAnsi="Arial" w:cs="Arial"/>
          <w:sz w:val="24"/>
          <w:szCs w:val="24"/>
        </w:rPr>
        <w:t xml:space="preserve"> </w:t>
      </w:r>
      <w:r w:rsidR="00F62C1C">
        <w:rPr>
          <w:rFonts w:ascii="Arial" w:hAnsi="Arial" w:cs="Arial"/>
          <w:sz w:val="24"/>
          <w:szCs w:val="24"/>
        </w:rPr>
        <w:t xml:space="preserve">range from </w:t>
      </w:r>
      <w:r w:rsidR="0064676F">
        <w:rPr>
          <w:rFonts w:ascii="Arial" w:hAnsi="Arial" w:cs="Arial"/>
          <w:sz w:val="24"/>
          <w:szCs w:val="24"/>
        </w:rPr>
        <w:t>~</w:t>
      </w:r>
      <w:r w:rsidR="00F62C1C">
        <w:rPr>
          <w:rFonts w:ascii="Arial" w:hAnsi="Arial" w:cs="Arial"/>
          <w:sz w:val="24"/>
          <w:szCs w:val="24"/>
        </w:rPr>
        <w:t xml:space="preserve">10% </w:t>
      </w:r>
      <w:r w:rsidR="0064676F">
        <w:rPr>
          <w:rFonts w:ascii="Arial" w:hAnsi="Arial" w:cs="Arial"/>
          <w:sz w:val="24"/>
          <w:szCs w:val="24"/>
        </w:rPr>
        <w:t xml:space="preserve">of the budget </w:t>
      </w:r>
      <w:r w:rsidR="00F62C1C">
        <w:rPr>
          <w:rFonts w:ascii="Arial" w:hAnsi="Arial" w:cs="Arial"/>
          <w:sz w:val="24"/>
          <w:szCs w:val="24"/>
        </w:rPr>
        <w:t xml:space="preserve">(in the largest primary school) to </w:t>
      </w:r>
      <w:r w:rsidR="0064676F">
        <w:rPr>
          <w:rFonts w:ascii="Arial" w:hAnsi="Arial" w:cs="Arial"/>
          <w:sz w:val="24"/>
          <w:szCs w:val="24"/>
        </w:rPr>
        <w:t>~68</w:t>
      </w:r>
      <w:r w:rsidR="00F62C1C">
        <w:rPr>
          <w:rFonts w:ascii="Arial" w:hAnsi="Arial" w:cs="Arial"/>
          <w:sz w:val="24"/>
          <w:szCs w:val="24"/>
        </w:rPr>
        <w:t xml:space="preserve">% </w:t>
      </w:r>
      <w:r w:rsidR="0064676F">
        <w:rPr>
          <w:rFonts w:ascii="Arial" w:hAnsi="Arial" w:cs="Arial"/>
          <w:sz w:val="24"/>
          <w:szCs w:val="24"/>
        </w:rPr>
        <w:t xml:space="preserve">(in the smallest primary </w:t>
      </w:r>
      <w:r w:rsidR="00F62C1C">
        <w:rPr>
          <w:rFonts w:ascii="Arial" w:hAnsi="Arial" w:cs="Arial"/>
          <w:sz w:val="24"/>
          <w:szCs w:val="24"/>
        </w:rPr>
        <w:t>school</w:t>
      </w:r>
      <w:r w:rsidR="0064676F">
        <w:rPr>
          <w:rFonts w:ascii="Arial" w:hAnsi="Arial" w:cs="Arial"/>
          <w:sz w:val="24"/>
          <w:szCs w:val="24"/>
        </w:rPr>
        <w:t xml:space="preserve">.)  </w:t>
      </w:r>
      <w:r w:rsidR="00F62C1C">
        <w:rPr>
          <w:rFonts w:ascii="Arial" w:hAnsi="Arial" w:cs="Arial"/>
          <w:sz w:val="24"/>
          <w:szCs w:val="24"/>
        </w:rPr>
        <w:t>Hence a “</w:t>
      </w:r>
      <w:r w:rsidR="00055B98">
        <w:rPr>
          <w:rFonts w:ascii="Arial" w:hAnsi="Arial" w:cs="Arial"/>
          <w:sz w:val="24"/>
          <w:szCs w:val="24"/>
        </w:rPr>
        <w:t>+</w:t>
      </w:r>
      <w:r w:rsidR="00F62C1C">
        <w:rPr>
          <w:rFonts w:ascii="Arial" w:hAnsi="Arial" w:cs="Arial"/>
          <w:sz w:val="24"/>
          <w:szCs w:val="24"/>
        </w:rPr>
        <w:t xml:space="preserve">0.5%” MFG protection rate would only guarantee the very smallest school an </w:t>
      </w:r>
      <w:r w:rsidR="001C714B">
        <w:rPr>
          <w:rFonts w:ascii="Arial" w:hAnsi="Arial" w:cs="Arial"/>
          <w:sz w:val="24"/>
          <w:szCs w:val="24"/>
        </w:rPr>
        <w:t xml:space="preserve">overall </w:t>
      </w:r>
      <w:r w:rsidR="00F62C1C">
        <w:rPr>
          <w:rFonts w:ascii="Arial" w:hAnsi="Arial" w:cs="Arial"/>
          <w:sz w:val="24"/>
          <w:szCs w:val="24"/>
        </w:rPr>
        <w:t>increase of 0.1</w:t>
      </w:r>
      <w:r w:rsidR="0064676F">
        <w:rPr>
          <w:rFonts w:ascii="Arial" w:hAnsi="Arial" w:cs="Arial"/>
          <w:sz w:val="24"/>
          <w:szCs w:val="24"/>
        </w:rPr>
        <w:t>6</w:t>
      </w:r>
      <w:r w:rsidR="00F62C1C">
        <w:rPr>
          <w:rFonts w:ascii="Arial" w:hAnsi="Arial" w:cs="Arial"/>
          <w:sz w:val="24"/>
          <w:szCs w:val="24"/>
        </w:rPr>
        <w:t xml:space="preserve">% </w:t>
      </w:r>
      <w:r w:rsidR="0064676F">
        <w:rPr>
          <w:rFonts w:ascii="Arial" w:hAnsi="Arial" w:cs="Arial"/>
          <w:sz w:val="24"/>
          <w:szCs w:val="24"/>
        </w:rPr>
        <w:t xml:space="preserve">i.e. </w:t>
      </w:r>
      <w:r w:rsidR="00F62C1C">
        <w:rPr>
          <w:rFonts w:ascii="Arial" w:hAnsi="Arial" w:cs="Arial"/>
          <w:sz w:val="24"/>
          <w:szCs w:val="24"/>
        </w:rPr>
        <w:t>0.5% x (100%-</w:t>
      </w:r>
      <w:r w:rsidR="0064676F">
        <w:rPr>
          <w:rFonts w:ascii="Arial" w:hAnsi="Arial" w:cs="Arial"/>
          <w:sz w:val="24"/>
          <w:szCs w:val="24"/>
        </w:rPr>
        <w:t>68</w:t>
      </w:r>
      <w:r w:rsidR="00F62C1C">
        <w:rPr>
          <w:rFonts w:ascii="Arial" w:hAnsi="Arial" w:cs="Arial"/>
          <w:sz w:val="24"/>
          <w:szCs w:val="24"/>
        </w:rPr>
        <w:t>%</w:t>
      </w:r>
      <w:r w:rsidR="0064676F">
        <w:rPr>
          <w:rFonts w:ascii="Arial" w:hAnsi="Arial" w:cs="Arial"/>
          <w:sz w:val="24"/>
          <w:szCs w:val="24"/>
        </w:rPr>
        <w:t>).</w:t>
      </w:r>
    </w:p>
    <w:p w:rsidR="0010699E" w:rsidP="00BA2071" w:rsidRDefault="0010699E">
      <w:pPr>
        <w:rPr>
          <w:rFonts w:ascii="Arial" w:hAnsi="Arial" w:cs="Arial"/>
          <w:sz w:val="24"/>
          <w:szCs w:val="24"/>
        </w:rPr>
      </w:pPr>
    </w:p>
    <w:p w:rsidRPr="00446D64" w:rsidR="00446D64" w:rsidRDefault="00446D64">
      <w:pPr>
        <w:rPr>
          <w:rFonts w:ascii="Arial" w:hAnsi="Arial" w:cs="Arial"/>
          <w:b/>
          <w:sz w:val="24"/>
          <w:szCs w:val="24"/>
          <w:u w:val="single"/>
        </w:rPr>
      </w:pPr>
      <w:r w:rsidRPr="00446D64">
        <w:rPr>
          <w:rFonts w:ascii="Arial" w:hAnsi="Arial" w:cs="Arial"/>
          <w:b/>
          <w:sz w:val="24"/>
          <w:szCs w:val="24"/>
        </w:rPr>
        <w:t>2.2</w:t>
      </w:r>
      <w:r w:rsidRPr="00446D64">
        <w:rPr>
          <w:rFonts w:ascii="Arial" w:hAnsi="Arial" w:cs="Arial"/>
          <w:b/>
          <w:sz w:val="24"/>
          <w:szCs w:val="24"/>
        </w:rPr>
        <w:tab/>
      </w:r>
      <w:r w:rsidRPr="00446D64">
        <w:rPr>
          <w:rFonts w:ascii="Arial" w:hAnsi="Arial" w:cs="Arial"/>
          <w:b/>
          <w:sz w:val="24"/>
          <w:szCs w:val="24"/>
          <w:u w:val="single"/>
        </w:rPr>
        <w:t>Cap on gains</w:t>
      </w:r>
    </w:p>
    <w:p w:rsidR="00446D64" w:rsidRDefault="00446D64">
      <w:pPr>
        <w:rPr>
          <w:rFonts w:ascii="Arial" w:hAnsi="Arial" w:cs="Arial"/>
          <w:sz w:val="24"/>
          <w:szCs w:val="24"/>
        </w:rPr>
      </w:pPr>
    </w:p>
    <w:p w:rsidR="001C28A0" w:rsidP="00446D64" w:rsidRDefault="00446D64">
      <w:pPr>
        <w:rPr>
          <w:rFonts w:ascii="Arial" w:hAnsi="Arial" w:cs="Arial"/>
          <w:sz w:val="24"/>
          <w:szCs w:val="24"/>
        </w:rPr>
      </w:pPr>
      <w:r>
        <w:rPr>
          <w:rFonts w:ascii="Arial" w:hAnsi="Arial" w:cs="Arial"/>
          <w:sz w:val="24"/>
          <w:szCs w:val="24"/>
        </w:rPr>
        <w:t xml:space="preserve">The overall Schools Block will be based on the impact of the NFF in Derbyshire, see section 1.2 above. The NFF cap on gains of 3% per pupil </w:t>
      </w:r>
      <w:r w:rsidR="000614FC">
        <w:rPr>
          <w:rFonts w:ascii="Arial" w:hAnsi="Arial" w:cs="Arial"/>
          <w:sz w:val="24"/>
          <w:szCs w:val="24"/>
        </w:rPr>
        <w:t xml:space="preserve">effectively </w:t>
      </w:r>
      <w:r>
        <w:rPr>
          <w:rFonts w:ascii="Arial" w:hAnsi="Arial" w:cs="Arial"/>
          <w:sz w:val="24"/>
          <w:szCs w:val="24"/>
        </w:rPr>
        <w:t>limit</w:t>
      </w:r>
      <w:r w:rsidR="000614FC">
        <w:rPr>
          <w:rFonts w:ascii="Arial" w:hAnsi="Arial" w:cs="Arial"/>
          <w:sz w:val="24"/>
          <w:szCs w:val="24"/>
        </w:rPr>
        <w:t>s</w:t>
      </w:r>
      <w:r>
        <w:rPr>
          <w:rFonts w:ascii="Arial" w:hAnsi="Arial" w:cs="Arial"/>
          <w:sz w:val="24"/>
          <w:szCs w:val="24"/>
        </w:rPr>
        <w:t xml:space="preserve"> the size of the overall School Block for each LA. In terms of the </w:t>
      </w:r>
      <w:r w:rsidR="00866E93">
        <w:rPr>
          <w:rFonts w:ascii="Arial" w:hAnsi="Arial" w:cs="Arial"/>
          <w:sz w:val="24"/>
          <w:szCs w:val="24"/>
        </w:rPr>
        <w:t xml:space="preserve">local </w:t>
      </w:r>
      <w:r>
        <w:rPr>
          <w:rFonts w:ascii="Arial" w:hAnsi="Arial" w:cs="Arial"/>
          <w:sz w:val="24"/>
          <w:szCs w:val="24"/>
        </w:rPr>
        <w:t>formula for next year, LAs are free to set their own cap</w:t>
      </w:r>
      <w:r w:rsidR="00BE00A0">
        <w:rPr>
          <w:rFonts w:ascii="Arial" w:hAnsi="Arial" w:cs="Arial"/>
          <w:sz w:val="24"/>
          <w:szCs w:val="24"/>
        </w:rPr>
        <w:t>.</w:t>
      </w:r>
      <w:r>
        <w:rPr>
          <w:rFonts w:ascii="Arial" w:hAnsi="Arial" w:cs="Arial"/>
          <w:sz w:val="24"/>
          <w:szCs w:val="24"/>
        </w:rPr>
        <w:t xml:space="preserve"> However, if </w:t>
      </w:r>
      <w:r w:rsidR="005772E3">
        <w:rPr>
          <w:rFonts w:ascii="Arial" w:hAnsi="Arial" w:cs="Arial"/>
          <w:sz w:val="24"/>
          <w:szCs w:val="24"/>
        </w:rPr>
        <w:t xml:space="preserve">a cap </w:t>
      </w:r>
      <w:r w:rsidR="009F7B2D">
        <w:rPr>
          <w:rFonts w:ascii="Arial" w:hAnsi="Arial" w:cs="Arial"/>
          <w:sz w:val="24"/>
          <w:szCs w:val="24"/>
        </w:rPr>
        <w:t xml:space="preserve">were to be set </w:t>
      </w:r>
      <w:r w:rsidR="005772E3">
        <w:rPr>
          <w:rFonts w:ascii="Arial" w:hAnsi="Arial" w:cs="Arial"/>
          <w:sz w:val="24"/>
          <w:szCs w:val="24"/>
        </w:rPr>
        <w:t xml:space="preserve">above </w:t>
      </w:r>
      <w:r>
        <w:rPr>
          <w:rFonts w:ascii="Arial" w:hAnsi="Arial" w:cs="Arial"/>
          <w:sz w:val="24"/>
          <w:szCs w:val="24"/>
        </w:rPr>
        <w:t xml:space="preserve">3% this </w:t>
      </w:r>
      <w:r w:rsidR="005772E3">
        <w:rPr>
          <w:rFonts w:ascii="Arial" w:hAnsi="Arial" w:cs="Arial"/>
          <w:sz w:val="24"/>
          <w:szCs w:val="24"/>
        </w:rPr>
        <w:t xml:space="preserve">would </w:t>
      </w:r>
      <w:r>
        <w:rPr>
          <w:rFonts w:ascii="Arial" w:hAnsi="Arial" w:cs="Arial"/>
          <w:sz w:val="24"/>
          <w:szCs w:val="24"/>
        </w:rPr>
        <w:t xml:space="preserve">create an unfunded pressure which </w:t>
      </w:r>
      <w:r w:rsidR="005772E3">
        <w:rPr>
          <w:rFonts w:ascii="Arial" w:hAnsi="Arial" w:cs="Arial"/>
          <w:sz w:val="24"/>
          <w:szCs w:val="24"/>
        </w:rPr>
        <w:t xml:space="preserve">would </w:t>
      </w:r>
      <w:r>
        <w:rPr>
          <w:rFonts w:ascii="Arial" w:hAnsi="Arial" w:cs="Arial"/>
          <w:sz w:val="24"/>
          <w:szCs w:val="24"/>
        </w:rPr>
        <w:t xml:space="preserve">have to be offset by other actions e.g. reductions in one or more multipliers in the local formula. The same percentage cap on gains has to apply to both sectors. </w:t>
      </w:r>
    </w:p>
    <w:p w:rsidR="00446D64" w:rsidRDefault="00446D64">
      <w:pPr>
        <w:rPr>
          <w:rFonts w:ascii="Arial" w:hAnsi="Arial" w:cs="Arial"/>
          <w:sz w:val="24"/>
          <w:szCs w:val="24"/>
        </w:rPr>
      </w:pPr>
    </w:p>
    <w:p w:rsidR="00446D64" w:rsidP="00446D64" w:rsidRDefault="00446D64">
      <w:pPr>
        <w:rPr>
          <w:rFonts w:ascii="Arial" w:hAnsi="Arial" w:cs="Arial"/>
          <w:sz w:val="24"/>
          <w:szCs w:val="24"/>
        </w:rPr>
      </w:pPr>
      <w:r w:rsidRPr="0061335B">
        <w:rPr>
          <w:rFonts w:ascii="Arial" w:hAnsi="Arial" w:cs="Arial"/>
          <w:b/>
          <w:sz w:val="24"/>
          <w:szCs w:val="24"/>
        </w:rPr>
        <w:t xml:space="preserve">2.3 </w:t>
      </w:r>
      <w:r w:rsidRPr="0061335B">
        <w:rPr>
          <w:rFonts w:ascii="Arial" w:hAnsi="Arial" w:cs="Arial"/>
          <w:b/>
          <w:sz w:val="24"/>
          <w:szCs w:val="24"/>
        </w:rPr>
        <w:tab/>
      </w:r>
      <w:r w:rsidRPr="0061335B">
        <w:rPr>
          <w:rFonts w:ascii="Arial" w:hAnsi="Arial" w:cs="Arial"/>
          <w:b/>
          <w:sz w:val="24"/>
          <w:szCs w:val="24"/>
          <w:u w:val="single"/>
        </w:rPr>
        <w:t>Schools</w:t>
      </w:r>
      <w:r w:rsidRPr="00446D64">
        <w:rPr>
          <w:rFonts w:ascii="Arial" w:hAnsi="Arial" w:cs="Arial"/>
          <w:b/>
          <w:sz w:val="24"/>
          <w:szCs w:val="24"/>
          <w:u w:val="single"/>
        </w:rPr>
        <w:t xml:space="preserve"> Block Quantum</w:t>
      </w:r>
    </w:p>
    <w:p w:rsidR="00446D64" w:rsidP="00446D64" w:rsidRDefault="00446D64">
      <w:pPr>
        <w:rPr>
          <w:rFonts w:ascii="Arial" w:hAnsi="Arial" w:cs="Arial"/>
          <w:sz w:val="24"/>
          <w:szCs w:val="24"/>
        </w:rPr>
      </w:pPr>
    </w:p>
    <w:p w:rsidRPr="00CE6429" w:rsidR="00446D64" w:rsidP="00446D64" w:rsidRDefault="00446D64">
      <w:pPr>
        <w:rPr>
          <w:rFonts w:ascii="Arial" w:hAnsi="Arial" w:cs="Arial"/>
          <w:sz w:val="14"/>
          <w:szCs w:val="24"/>
        </w:rPr>
      </w:pPr>
      <w:r>
        <w:rPr>
          <w:rFonts w:ascii="Arial" w:hAnsi="Arial" w:cs="Arial"/>
          <w:sz w:val="24"/>
          <w:szCs w:val="24"/>
        </w:rPr>
        <w:t xml:space="preserve">The </w:t>
      </w:r>
      <w:r w:rsidR="004321B4">
        <w:rPr>
          <w:rFonts w:ascii="Arial" w:hAnsi="Arial" w:cs="Arial"/>
          <w:sz w:val="24"/>
          <w:szCs w:val="24"/>
        </w:rPr>
        <w:t xml:space="preserve">calculation of the assumed </w:t>
      </w:r>
      <w:r>
        <w:rPr>
          <w:rFonts w:ascii="Arial" w:hAnsi="Arial" w:cs="Arial"/>
          <w:sz w:val="24"/>
          <w:szCs w:val="24"/>
        </w:rPr>
        <w:t xml:space="preserve">Schools Block </w:t>
      </w:r>
      <w:r w:rsidR="004321B4">
        <w:rPr>
          <w:rFonts w:ascii="Arial" w:hAnsi="Arial" w:cs="Arial"/>
          <w:sz w:val="24"/>
          <w:szCs w:val="24"/>
        </w:rPr>
        <w:t xml:space="preserve">quantum is </w:t>
      </w:r>
      <w:r w:rsidR="0061335B">
        <w:rPr>
          <w:rFonts w:ascii="Arial" w:hAnsi="Arial" w:cs="Arial"/>
          <w:sz w:val="24"/>
          <w:szCs w:val="24"/>
        </w:rPr>
        <w:t xml:space="preserve">shown </w:t>
      </w:r>
      <w:r>
        <w:rPr>
          <w:rFonts w:ascii="Arial" w:hAnsi="Arial" w:cs="Arial"/>
          <w:sz w:val="24"/>
          <w:szCs w:val="24"/>
        </w:rPr>
        <w:t xml:space="preserve">in Table 3 </w:t>
      </w:r>
      <w:r w:rsidR="00866E93">
        <w:rPr>
          <w:rFonts w:ascii="Arial" w:hAnsi="Arial" w:cs="Arial"/>
          <w:sz w:val="24"/>
          <w:szCs w:val="24"/>
        </w:rPr>
        <w:t>overleaf</w:t>
      </w:r>
      <w:r>
        <w:rPr>
          <w:rFonts w:ascii="Arial" w:hAnsi="Arial" w:cs="Arial"/>
          <w:sz w:val="24"/>
          <w:szCs w:val="24"/>
        </w:rPr>
        <w:t>:</w:t>
      </w:r>
    </w:p>
    <w:p w:rsidRPr="00CE6429" w:rsidR="00446D64" w:rsidP="00446D64" w:rsidRDefault="00AC2D71">
      <w:pPr>
        <w:rPr>
          <w:rFonts w:ascii="Arial" w:hAnsi="Arial" w:cs="Arial"/>
          <w:b/>
          <w:sz w:val="24"/>
          <w:szCs w:val="24"/>
          <w:u w:val="single"/>
        </w:rPr>
      </w:pPr>
      <w:r>
        <w:rPr>
          <w:rFonts w:ascii="Arial" w:hAnsi="Arial" w:cs="Arial"/>
          <w:b/>
          <w:sz w:val="24"/>
          <w:szCs w:val="24"/>
          <w:u w:val="single"/>
        </w:rPr>
        <w:br w:type="page"/>
      </w:r>
      <w:r w:rsidRPr="00CE6429" w:rsidR="00446D64">
        <w:rPr>
          <w:rFonts w:ascii="Arial" w:hAnsi="Arial" w:cs="Arial"/>
          <w:b/>
          <w:sz w:val="24"/>
          <w:szCs w:val="24"/>
          <w:u w:val="single"/>
        </w:rPr>
        <w:lastRenderedPageBreak/>
        <w:t xml:space="preserve">Table </w:t>
      </w:r>
      <w:r w:rsidR="00446D64">
        <w:rPr>
          <w:rFonts w:ascii="Arial" w:hAnsi="Arial" w:cs="Arial"/>
          <w:b/>
          <w:sz w:val="24"/>
          <w:szCs w:val="24"/>
          <w:u w:val="single"/>
        </w:rPr>
        <w:t>3</w:t>
      </w:r>
      <w:r w:rsidRPr="00CE6429" w:rsidR="00446D64">
        <w:rPr>
          <w:rFonts w:ascii="Arial" w:hAnsi="Arial" w:cs="Arial"/>
          <w:b/>
          <w:sz w:val="24"/>
          <w:szCs w:val="24"/>
          <w:u w:val="single"/>
        </w:rPr>
        <w:t xml:space="preserve"> – Assumed Schools Block for Modelling Purposes</w:t>
      </w:r>
    </w:p>
    <w:p w:rsidRPr="00F65D44" w:rsidR="00446D64" w:rsidP="00446D64" w:rsidRDefault="00446D64">
      <w:pPr>
        <w:rPr>
          <w:rFonts w:ascii="Arial" w:hAnsi="Arial" w:cs="Arial"/>
          <w:szCs w:val="24"/>
        </w:rPr>
      </w:pPr>
    </w:p>
    <w:tbl>
      <w:tblPr>
        <w:tblStyle w:val="TableGrid"/>
        <w:tblW w:w="9605" w:type="dxa"/>
        <w:tblInd w:w="-5" w:type="dxa"/>
        <w:tblLook w:val="04A0" w:firstRow="1" w:lastRow="0" w:firstColumn="1" w:lastColumn="0" w:noHBand="0" w:noVBand="1"/>
      </w:tblPr>
      <w:tblGrid>
        <w:gridCol w:w="6237"/>
        <w:gridCol w:w="1684"/>
        <w:gridCol w:w="1684"/>
      </w:tblGrid>
      <w:tr w:rsidRPr="00C6420E" w:rsidR="00446D64" w:rsidTr="009A5505">
        <w:trPr>
          <w:trHeight w:val="252"/>
        </w:trPr>
        <w:tc>
          <w:tcPr>
            <w:tcW w:w="6237" w:type="dxa"/>
            <w:vAlign w:val="bottom"/>
          </w:tcPr>
          <w:p w:rsidRPr="00C6420E" w:rsidR="00446D64" w:rsidP="00BB59BC" w:rsidRDefault="00446D64">
            <w:pPr>
              <w:rPr>
                <w:rFonts w:ascii="Arial" w:hAnsi="Arial" w:cs="Arial"/>
                <w:color w:val="000000"/>
              </w:rPr>
            </w:pPr>
          </w:p>
        </w:tc>
        <w:tc>
          <w:tcPr>
            <w:tcW w:w="1684" w:type="dxa"/>
            <w:vAlign w:val="bottom"/>
          </w:tcPr>
          <w:p w:rsidRPr="00C6420E" w:rsidR="00446D64" w:rsidP="00BB59BC" w:rsidRDefault="00446D64">
            <w:pPr>
              <w:jc w:val="right"/>
              <w:rPr>
                <w:rFonts w:ascii="Arial" w:hAnsi="Arial" w:cs="Arial"/>
                <w:b/>
                <w:color w:val="000000"/>
              </w:rPr>
            </w:pPr>
            <w:r>
              <w:rPr>
                <w:rFonts w:ascii="Arial" w:hAnsi="Arial" w:cs="Arial"/>
                <w:b/>
                <w:color w:val="000000"/>
              </w:rPr>
              <w:t>Primary</w:t>
            </w:r>
          </w:p>
        </w:tc>
        <w:tc>
          <w:tcPr>
            <w:tcW w:w="1684" w:type="dxa"/>
            <w:vAlign w:val="bottom"/>
          </w:tcPr>
          <w:p w:rsidRPr="00C6420E" w:rsidR="00446D64" w:rsidP="00BB59BC" w:rsidRDefault="00446D64">
            <w:pPr>
              <w:jc w:val="right"/>
              <w:rPr>
                <w:rFonts w:ascii="Arial" w:hAnsi="Arial" w:cs="Arial"/>
                <w:b/>
                <w:color w:val="000000"/>
              </w:rPr>
            </w:pPr>
            <w:r>
              <w:rPr>
                <w:rFonts w:ascii="Arial" w:hAnsi="Arial" w:cs="Arial"/>
                <w:b/>
                <w:color w:val="000000"/>
              </w:rPr>
              <w:t>Secondary</w:t>
            </w:r>
          </w:p>
        </w:tc>
      </w:tr>
      <w:tr w:rsidRPr="00C251CE" w:rsidR="00446D64" w:rsidTr="009A5505">
        <w:trPr>
          <w:trHeight w:val="252"/>
        </w:trPr>
        <w:tc>
          <w:tcPr>
            <w:tcW w:w="6237" w:type="dxa"/>
            <w:vAlign w:val="bottom"/>
          </w:tcPr>
          <w:p w:rsidRPr="00BF6F47" w:rsidR="00446D64" w:rsidP="00BB59BC" w:rsidRDefault="00446D64">
            <w:pPr>
              <w:rPr>
                <w:rFonts w:ascii="Arial" w:hAnsi="Arial" w:cs="Arial"/>
                <w:color w:val="000000"/>
              </w:rPr>
            </w:pPr>
            <w:r w:rsidRPr="00BF6F47">
              <w:rPr>
                <w:rFonts w:ascii="Arial" w:hAnsi="Arial" w:cs="Arial"/>
                <w:color w:val="000000"/>
              </w:rPr>
              <w:t xml:space="preserve">Primary/secondary unit of funding (PUF/SUF) per Table 2 </w:t>
            </w:r>
          </w:p>
        </w:tc>
        <w:tc>
          <w:tcPr>
            <w:tcW w:w="1684" w:type="dxa"/>
            <w:vAlign w:val="bottom"/>
          </w:tcPr>
          <w:p w:rsidRPr="00BF6F47" w:rsidR="00446D64" w:rsidP="00BB59BC" w:rsidRDefault="00446D64">
            <w:pPr>
              <w:jc w:val="right"/>
              <w:rPr>
                <w:rFonts w:ascii="Arial" w:hAnsi="Arial" w:cs="Arial"/>
                <w:color w:val="000000"/>
              </w:rPr>
            </w:pPr>
            <w:r w:rsidRPr="00BF6F47">
              <w:rPr>
                <w:rFonts w:ascii="Arial" w:hAnsi="Arial" w:cs="Arial"/>
                <w:color w:val="000000"/>
              </w:rPr>
              <w:t>£3,877.27</w:t>
            </w:r>
          </w:p>
        </w:tc>
        <w:tc>
          <w:tcPr>
            <w:tcW w:w="1684" w:type="dxa"/>
            <w:vAlign w:val="bottom"/>
          </w:tcPr>
          <w:p w:rsidRPr="00BF6F47" w:rsidR="00446D64" w:rsidP="00BB59BC" w:rsidRDefault="00446D64">
            <w:pPr>
              <w:jc w:val="right"/>
              <w:rPr>
                <w:rFonts w:ascii="Arial" w:hAnsi="Arial" w:cs="Arial"/>
                <w:color w:val="000000"/>
              </w:rPr>
            </w:pPr>
            <w:r w:rsidRPr="00BF6F47">
              <w:rPr>
                <w:rFonts w:ascii="Arial" w:hAnsi="Arial" w:cs="Arial"/>
                <w:color w:val="000000"/>
              </w:rPr>
              <w:t>£4,959.92</w:t>
            </w:r>
          </w:p>
        </w:tc>
      </w:tr>
      <w:tr w:rsidRPr="00C251CE" w:rsidR="00446D64" w:rsidTr="009A5505">
        <w:trPr>
          <w:trHeight w:val="241"/>
        </w:trPr>
        <w:tc>
          <w:tcPr>
            <w:tcW w:w="6237" w:type="dxa"/>
            <w:vAlign w:val="bottom"/>
          </w:tcPr>
          <w:p w:rsidRPr="00BF6F47" w:rsidR="00446D64" w:rsidP="00BF6F47" w:rsidRDefault="00446D64">
            <w:pPr>
              <w:rPr>
                <w:rFonts w:ascii="Arial" w:hAnsi="Arial" w:cs="Arial"/>
                <w:color w:val="000000"/>
              </w:rPr>
            </w:pPr>
            <w:r w:rsidRPr="00BF6F47">
              <w:rPr>
                <w:rFonts w:ascii="Arial" w:hAnsi="Arial" w:cs="Arial"/>
                <w:color w:val="000000"/>
              </w:rPr>
              <w:t>NOR</w:t>
            </w:r>
            <w:r w:rsidRPr="00C6420E" w:rsidR="00BF6F47">
              <w:rPr>
                <w:rFonts w:ascii="Arial" w:hAnsi="Arial" w:cs="Arial"/>
                <w:color w:val="000000"/>
              </w:rPr>
              <w:t>*</w:t>
            </w:r>
            <w:r w:rsidR="00BF6F47">
              <w:rPr>
                <w:rFonts w:ascii="Arial" w:hAnsi="Arial" w:cs="Arial"/>
                <w:color w:val="000000"/>
                <w:vertAlign w:val="superscript"/>
              </w:rPr>
              <w:t>1</w:t>
            </w:r>
          </w:p>
        </w:tc>
        <w:tc>
          <w:tcPr>
            <w:tcW w:w="1684" w:type="dxa"/>
            <w:vAlign w:val="center"/>
          </w:tcPr>
          <w:p w:rsidRPr="00BF6F47" w:rsidR="00446D64" w:rsidP="00BB59BC" w:rsidRDefault="00446D64">
            <w:pPr>
              <w:jc w:val="right"/>
              <w:rPr>
                <w:rFonts w:ascii="Arial" w:hAnsi="Arial" w:cs="Arial"/>
                <w:bCs/>
                <w:color w:val="000000"/>
              </w:rPr>
            </w:pPr>
            <w:r w:rsidRPr="00BF6F47">
              <w:rPr>
                <w:rFonts w:ascii="Arial" w:hAnsi="Arial" w:cs="Arial"/>
                <w:bCs/>
                <w:color w:val="000000"/>
              </w:rPr>
              <w:t xml:space="preserve">   59,079.58</w:t>
            </w:r>
          </w:p>
        </w:tc>
        <w:tc>
          <w:tcPr>
            <w:tcW w:w="1684" w:type="dxa"/>
            <w:vAlign w:val="center"/>
          </w:tcPr>
          <w:p w:rsidRPr="00BF6F47" w:rsidR="00446D64" w:rsidP="00BB59BC" w:rsidRDefault="00446D64">
            <w:pPr>
              <w:jc w:val="right"/>
              <w:rPr>
                <w:rFonts w:ascii="Arial" w:hAnsi="Arial" w:cs="Arial"/>
                <w:color w:val="000000"/>
              </w:rPr>
            </w:pPr>
            <w:r w:rsidRPr="00BF6F47">
              <w:rPr>
                <w:rFonts w:ascii="Arial" w:hAnsi="Arial" w:cs="Arial"/>
                <w:color w:val="000000"/>
              </w:rPr>
              <w:t xml:space="preserve">37,134.17 </w:t>
            </w:r>
          </w:p>
        </w:tc>
      </w:tr>
      <w:tr w:rsidRPr="00C251CE" w:rsidR="00446D64" w:rsidTr="009A5505">
        <w:trPr>
          <w:trHeight w:val="252"/>
        </w:trPr>
        <w:tc>
          <w:tcPr>
            <w:tcW w:w="6237" w:type="dxa"/>
            <w:vAlign w:val="bottom"/>
          </w:tcPr>
          <w:p w:rsidRPr="00C251CE" w:rsidR="00446D64" w:rsidP="00BB59BC" w:rsidRDefault="00446D64">
            <w:pPr>
              <w:rPr>
                <w:rFonts w:ascii="Arial" w:hAnsi="Arial" w:cs="Arial"/>
                <w:color w:val="000000"/>
              </w:rPr>
            </w:pPr>
            <w:r w:rsidRPr="00C251CE">
              <w:rPr>
                <w:rFonts w:ascii="Arial" w:hAnsi="Arial" w:cs="Arial"/>
                <w:color w:val="000000"/>
              </w:rPr>
              <w:t>Funding excluding premises</w:t>
            </w:r>
          </w:p>
        </w:tc>
        <w:tc>
          <w:tcPr>
            <w:tcW w:w="1684" w:type="dxa"/>
            <w:vAlign w:val="bottom"/>
          </w:tcPr>
          <w:p w:rsidRPr="00C251CE" w:rsidR="00446D64" w:rsidP="00BB59BC" w:rsidRDefault="00446D64">
            <w:pPr>
              <w:jc w:val="right"/>
              <w:rPr>
                <w:rFonts w:ascii="Arial" w:hAnsi="Arial" w:cs="Arial"/>
                <w:color w:val="000000"/>
              </w:rPr>
            </w:pPr>
            <w:r>
              <w:rPr>
                <w:rFonts w:ascii="Arial" w:hAnsi="Arial" w:cs="Arial"/>
                <w:color w:val="000000"/>
              </w:rPr>
              <w:t>£229,067,496</w:t>
            </w:r>
          </w:p>
        </w:tc>
        <w:tc>
          <w:tcPr>
            <w:tcW w:w="1684" w:type="dxa"/>
            <w:vAlign w:val="bottom"/>
          </w:tcPr>
          <w:p w:rsidRPr="00C251CE" w:rsidR="00446D64" w:rsidP="00BB59BC" w:rsidRDefault="00446D64">
            <w:pPr>
              <w:jc w:val="right"/>
              <w:rPr>
                <w:rFonts w:ascii="Arial" w:hAnsi="Arial" w:cs="Arial"/>
                <w:color w:val="000000"/>
              </w:rPr>
            </w:pPr>
            <w:r>
              <w:rPr>
                <w:rFonts w:ascii="Arial" w:hAnsi="Arial" w:cs="Arial"/>
                <w:color w:val="000000"/>
              </w:rPr>
              <w:t>£184,182,496</w:t>
            </w:r>
          </w:p>
        </w:tc>
      </w:tr>
      <w:tr w:rsidRPr="00C251CE" w:rsidR="00446D64" w:rsidTr="009A5505">
        <w:trPr>
          <w:trHeight w:val="252"/>
        </w:trPr>
        <w:tc>
          <w:tcPr>
            <w:tcW w:w="6237" w:type="dxa"/>
            <w:vAlign w:val="bottom"/>
          </w:tcPr>
          <w:p w:rsidRPr="00C251CE" w:rsidR="00446D64" w:rsidP="00BB59BC" w:rsidRDefault="00446D64">
            <w:pPr>
              <w:rPr>
                <w:rFonts w:ascii="Arial" w:hAnsi="Arial" w:cs="Arial"/>
                <w:color w:val="000000"/>
              </w:rPr>
            </w:pPr>
          </w:p>
        </w:tc>
        <w:tc>
          <w:tcPr>
            <w:tcW w:w="1684" w:type="dxa"/>
            <w:vAlign w:val="bottom"/>
          </w:tcPr>
          <w:p w:rsidRPr="00C251CE" w:rsidR="00446D64" w:rsidP="00BB59BC" w:rsidRDefault="00446D64">
            <w:pPr>
              <w:jc w:val="right"/>
              <w:rPr>
                <w:rFonts w:ascii="Arial" w:hAnsi="Arial" w:cs="Arial"/>
                <w:color w:val="000000"/>
              </w:rPr>
            </w:pPr>
          </w:p>
        </w:tc>
        <w:tc>
          <w:tcPr>
            <w:tcW w:w="1684" w:type="dxa"/>
            <w:vAlign w:val="bottom"/>
          </w:tcPr>
          <w:p w:rsidRPr="00C251CE" w:rsidR="00446D64" w:rsidP="00BB59BC" w:rsidRDefault="00446D64">
            <w:pPr>
              <w:jc w:val="right"/>
              <w:rPr>
                <w:rFonts w:ascii="Arial" w:hAnsi="Arial" w:cs="Arial"/>
              </w:rPr>
            </w:pPr>
          </w:p>
        </w:tc>
      </w:tr>
      <w:tr w:rsidRPr="00C251CE" w:rsidR="00446D64" w:rsidTr="009A5505">
        <w:trPr>
          <w:trHeight w:val="252"/>
        </w:trPr>
        <w:tc>
          <w:tcPr>
            <w:tcW w:w="6237" w:type="dxa"/>
            <w:vAlign w:val="bottom"/>
          </w:tcPr>
          <w:p w:rsidRPr="00C251CE" w:rsidR="00446D64" w:rsidP="00BB59BC" w:rsidRDefault="00446D64">
            <w:pPr>
              <w:rPr>
                <w:rFonts w:ascii="Arial" w:hAnsi="Arial" w:cs="Arial"/>
                <w:color w:val="000000"/>
              </w:rPr>
            </w:pPr>
            <w:r w:rsidRPr="00C251CE">
              <w:rPr>
                <w:rFonts w:ascii="Arial" w:hAnsi="Arial" w:cs="Arial"/>
                <w:color w:val="000000"/>
              </w:rPr>
              <w:t>Premises factors:</w:t>
            </w:r>
          </w:p>
        </w:tc>
        <w:tc>
          <w:tcPr>
            <w:tcW w:w="1684" w:type="dxa"/>
            <w:vAlign w:val="bottom"/>
          </w:tcPr>
          <w:p w:rsidRPr="00C251CE" w:rsidR="00446D64" w:rsidP="00BB59BC" w:rsidRDefault="00446D64">
            <w:pPr>
              <w:jc w:val="right"/>
              <w:rPr>
                <w:rFonts w:ascii="Arial" w:hAnsi="Arial" w:cs="Arial"/>
                <w:color w:val="000000"/>
              </w:rPr>
            </w:pPr>
          </w:p>
        </w:tc>
        <w:tc>
          <w:tcPr>
            <w:tcW w:w="1684" w:type="dxa"/>
            <w:vAlign w:val="bottom"/>
          </w:tcPr>
          <w:p w:rsidRPr="00C251CE" w:rsidR="00446D64" w:rsidP="00BB59BC" w:rsidRDefault="00446D64">
            <w:pPr>
              <w:jc w:val="right"/>
              <w:rPr>
                <w:rFonts w:ascii="Arial" w:hAnsi="Arial" w:cs="Arial"/>
                <w:color w:val="000000"/>
              </w:rPr>
            </w:pPr>
          </w:p>
        </w:tc>
      </w:tr>
      <w:tr w:rsidRPr="00C6420E" w:rsidR="00446D64" w:rsidTr="009A5505">
        <w:trPr>
          <w:trHeight w:val="252"/>
        </w:trPr>
        <w:tc>
          <w:tcPr>
            <w:tcW w:w="6237" w:type="dxa"/>
            <w:vAlign w:val="bottom"/>
          </w:tcPr>
          <w:p w:rsidRPr="00C6420E" w:rsidR="00446D64" w:rsidP="00BB59BC" w:rsidRDefault="00446D64">
            <w:pPr>
              <w:ind w:left="171"/>
              <w:rPr>
                <w:rFonts w:ascii="Arial" w:hAnsi="Arial" w:cs="Arial"/>
                <w:color w:val="000000"/>
              </w:rPr>
            </w:pPr>
            <w:r w:rsidRPr="00C6420E">
              <w:rPr>
                <w:rFonts w:ascii="Arial" w:hAnsi="Arial" w:cs="Arial"/>
                <w:color w:val="000000"/>
              </w:rPr>
              <w:t>Growth Fund (KS1)</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£1,100,000</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w:t>
            </w:r>
          </w:p>
        </w:tc>
      </w:tr>
      <w:tr w:rsidRPr="00C6420E" w:rsidR="00446D64" w:rsidTr="009A5505">
        <w:trPr>
          <w:trHeight w:val="252"/>
        </w:trPr>
        <w:tc>
          <w:tcPr>
            <w:tcW w:w="6237" w:type="dxa"/>
            <w:vAlign w:val="bottom"/>
          </w:tcPr>
          <w:p w:rsidRPr="00C6420E" w:rsidR="00446D64" w:rsidP="00BB59BC" w:rsidRDefault="00446D64">
            <w:pPr>
              <w:ind w:left="171"/>
              <w:rPr>
                <w:rFonts w:ascii="Arial" w:hAnsi="Arial" w:cs="Arial"/>
                <w:color w:val="000000"/>
              </w:rPr>
            </w:pPr>
            <w:r w:rsidRPr="00C6420E">
              <w:rPr>
                <w:rFonts w:ascii="Arial" w:hAnsi="Arial" w:cs="Arial"/>
                <w:color w:val="000000"/>
              </w:rPr>
              <w:t>Split site</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£80,136</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£501,065</w:t>
            </w:r>
          </w:p>
        </w:tc>
      </w:tr>
      <w:tr w:rsidRPr="00C6420E" w:rsidR="00446D64" w:rsidTr="009A5505">
        <w:trPr>
          <w:trHeight w:val="241"/>
        </w:trPr>
        <w:tc>
          <w:tcPr>
            <w:tcW w:w="6237" w:type="dxa"/>
            <w:vAlign w:val="bottom"/>
          </w:tcPr>
          <w:p w:rsidRPr="00C6420E" w:rsidR="00446D64" w:rsidP="00BB59BC" w:rsidRDefault="00446D64">
            <w:pPr>
              <w:ind w:left="171"/>
              <w:rPr>
                <w:rFonts w:ascii="Arial" w:hAnsi="Arial" w:cs="Arial"/>
                <w:color w:val="000000"/>
              </w:rPr>
            </w:pPr>
            <w:r w:rsidRPr="00C6420E">
              <w:rPr>
                <w:rFonts w:ascii="Arial" w:hAnsi="Arial" w:cs="Arial"/>
                <w:color w:val="000000"/>
              </w:rPr>
              <w:t>Rates</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£3,523,609</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£3,649,408</w:t>
            </w:r>
          </w:p>
        </w:tc>
      </w:tr>
      <w:tr w:rsidRPr="00C6420E" w:rsidR="00446D64" w:rsidTr="009A5505">
        <w:trPr>
          <w:trHeight w:val="252"/>
        </w:trPr>
        <w:tc>
          <w:tcPr>
            <w:tcW w:w="6237" w:type="dxa"/>
            <w:vAlign w:val="bottom"/>
          </w:tcPr>
          <w:p w:rsidRPr="00C6420E" w:rsidR="00446D64" w:rsidP="00BB59BC" w:rsidRDefault="00446D64">
            <w:pPr>
              <w:ind w:left="171"/>
              <w:rPr>
                <w:rFonts w:ascii="Arial" w:hAnsi="Arial" w:cs="Arial"/>
                <w:color w:val="000000"/>
              </w:rPr>
            </w:pPr>
            <w:r w:rsidRPr="00C6420E">
              <w:rPr>
                <w:rFonts w:ascii="Arial" w:hAnsi="Arial" w:cs="Arial"/>
                <w:color w:val="000000"/>
              </w:rPr>
              <w:t>PFI</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£2,036,646</w:t>
            </w:r>
          </w:p>
        </w:tc>
      </w:tr>
      <w:tr w:rsidRPr="00C6420E" w:rsidR="00446D64" w:rsidTr="009A5505">
        <w:trPr>
          <w:trHeight w:val="252"/>
        </w:trPr>
        <w:tc>
          <w:tcPr>
            <w:tcW w:w="6237" w:type="dxa"/>
            <w:vAlign w:val="bottom"/>
          </w:tcPr>
          <w:p w:rsidRPr="00C6420E" w:rsidR="00446D64" w:rsidP="00BB59BC" w:rsidRDefault="00446D64">
            <w:pPr>
              <w:ind w:left="171"/>
              <w:rPr>
                <w:rFonts w:ascii="Arial" w:hAnsi="Arial" w:cs="Arial"/>
                <w:color w:val="000000"/>
              </w:rPr>
            </w:pPr>
            <w:r w:rsidRPr="00C6420E">
              <w:rPr>
                <w:rFonts w:ascii="Arial" w:hAnsi="Arial" w:cs="Arial"/>
                <w:color w:val="000000"/>
              </w:rPr>
              <w:t xml:space="preserve">Exceptional </w:t>
            </w:r>
            <w:r w:rsidR="001C714B">
              <w:rPr>
                <w:rFonts w:ascii="Arial" w:hAnsi="Arial" w:cs="Arial"/>
                <w:color w:val="000000"/>
              </w:rPr>
              <w:t xml:space="preserve">premises </w:t>
            </w:r>
            <w:r w:rsidRPr="00C6420E">
              <w:rPr>
                <w:rFonts w:ascii="Arial" w:hAnsi="Arial" w:cs="Arial"/>
                <w:color w:val="000000"/>
              </w:rPr>
              <w:t>factors</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£95,123</w:t>
            </w:r>
          </w:p>
        </w:tc>
        <w:tc>
          <w:tcPr>
            <w:tcW w:w="1684" w:type="dxa"/>
            <w:vAlign w:val="bottom"/>
          </w:tcPr>
          <w:p w:rsidRPr="00C6420E" w:rsidR="00446D64" w:rsidP="00BB59BC" w:rsidRDefault="00446D64">
            <w:pPr>
              <w:jc w:val="right"/>
              <w:rPr>
                <w:rFonts w:ascii="Arial" w:hAnsi="Arial" w:cs="Arial"/>
                <w:color w:val="000000"/>
              </w:rPr>
            </w:pPr>
            <w:r w:rsidRPr="00C6420E">
              <w:rPr>
                <w:rFonts w:ascii="Arial" w:hAnsi="Arial" w:cs="Arial"/>
                <w:color w:val="000000"/>
              </w:rPr>
              <w:t>£106,030</w:t>
            </w:r>
          </w:p>
        </w:tc>
      </w:tr>
      <w:tr w:rsidRPr="00CE6429" w:rsidR="00446D64" w:rsidTr="009A5505">
        <w:trPr>
          <w:trHeight w:val="252"/>
        </w:trPr>
        <w:tc>
          <w:tcPr>
            <w:tcW w:w="6237" w:type="dxa"/>
            <w:vAlign w:val="bottom"/>
          </w:tcPr>
          <w:p w:rsidRPr="00446D64" w:rsidR="00446D64" w:rsidP="000614FC" w:rsidRDefault="00446D64">
            <w:pPr>
              <w:rPr>
                <w:rFonts w:ascii="Arial" w:hAnsi="Arial" w:cs="Arial"/>
                <w:color w:val="000000"/>
              </w:rPr>
            </w:pPr>
            <w:r w:rsidRPr="00446D64">
              <w:rPr>
                <w:rFonts w:ascii="Arial" w:hAnsi="Arial" w:cs="Arial"/>
                <w:color w:val="000000"/>
              </w:rPr>
              <w:t>Total Schools Block</w:t>
            </w:r>
          </w:p>
        </w:tc>
        <w:tc>
          <w:tcPr>
            <w:tcW w:w="1684" w:type="dxa"/>
            <w:vAlign w:val="bottom"/>
          </w:tcPr>
          <w:p w:rsidRPr="00446D64" w:rsidR="00446D64" w:rsidP="00BB59BC" w:rsidRDefault="00446D64">
            <w:pPr>
              <w:jc w:val="right"/>
              <w:rPr>
                <w:rFonts w:ascii="Arial" w:hAnsi="Arial" w:cs="Arial"/>
                <w:color w:val="000000"/>
              </w:rPr>
            </w:pPr>
            <w:r w:rsidRPr="00446D64">
              <w:rPr>
                <w:rFonts w:ascii="Arial" w:hAnsi="Arial" w:cs="Arial"/>
                <w:color w:val="000000"/>
              </w:rPr>
              <w:t>£233,866,364</w:t>
            </w:r>
          </w:p>
        </w:tc>
        <w:tc>
          <w:tcPr>
            <w:tcW w:w="1684" w:type="dxa"/>
            <w:vAlign w:val="bottom"/>
          </w:tcPr>
          <w:p w:rsidRPr="00446D64" w:rsidR="00446D64" w:rsidP="00BB59BC" w:rsidRDefault="00446D64">
            <w:pPr>
              <w:jc w:val="right"/>
              <w:rPr>
                <w:rFonts w:ascii="Arial" w:hAnsi="Arial" w:cs="Arial"/>
                <w:color w:val="000000"/>
              </w:rPr>
            </w:pPr>
            <w:r w:rsidRPr="00446D64">
              <w:rPr>
                <w:rFonts w:ascii="Arial" w:hAnsi="Arial" w:cs="Arial"/>
                <w:color w:val="000000"/>
              </w:rPr>
              <w:t>£190,475,645</w:t>
            </w:r>
          </w:p>
        </w:tc>
      </w:tr>
      <w:tr w:rsidRPr="00CE6429" w:rsidR="00446D64" w:rsidTr="009A5505">
        <w:trPr>
          <w:trHeight w:val="252"/>
        </w:trPr>
        <w:tc>
          <w:tcPr>
            <w:tcW w:w="6237" w:type="dxa"/>
            <w:vAlign w:val="bottom"/>
          </w:tcPr>
          <w:p w:rsidRPr="00CE6429" w:rsidR="00446D64" w:rsidP="00BB59BC" w:rsidRDefault="000614FC">
            <w:pPr>
              <w:rPr>
                <w:rFonts w:ascii="Arial" w:hAnsi="Arial" w:cs="Arial"/>
                <w:b/>
                <w:color w:val="000000"/>
              </w:rPr>
            </w:pPr>
            <w:r>
              <w:rPr>
                <w:rFonts w:ascii="Arial" w:hAnsi="Arial" w:cs="Arial"/>
                <w:b/>
                <w:color w:val="000000"/>
              </w:rPr>
              <w:t>T</w:t>
            </w:r>
            <w:r w:rsidRPr="00CE6429" w:rsidR="00446D64">
              <w:rPr>
                <w:rFonts w:ascii="Arial" w:hAnsi="Arial" w:cs="Arial"/>
                <w:b/>
                <w:color w:val="000000"/>
              </w:rPr>
              <w:t>otal Schools Block for modelling purposes</w:t>
            </w:r>
            <w:r w:rsidR="00446D64">
              <w:rPr>
                <w:rFonts w:ascii="Arial" w:hAnsi="Arial" w:cs="Arial"/>
                <w:b/>
                <w:color w:val="000000"/>
              </w:rPr>
              <w:t xml:space="preserve"> (</w:t>
            </w:r>
            <w:proofErr w:type="spellStart"/>
            <w:r w:rsidR="00446D64">
              <w:rPr>
                <w:rFonts w:ascii="Arial" w:hAnsi="Arial" w:cs="Arial"/>
                <w:b/>
                <w:color w:val="000000"/>
              </w:rPr>
              <w:t>ex growth</w:t>
            </w:r>
            <w:proofErr w:type="spellEnd"/>
            <w:r w:rsidR="00446D64">
              <w:rPr>
                <w:rFonts w:ascii="Arial" w:hAnsi="Arial" w:cs="Arial"/>
                <w:b/>
                <w:color w:val="000000"/>
              </w:rPr>
              <w:t>)</w:t>
            </w:r>
          </w:p>
        </w:tc>
        <w:tc>
          <w:tcPr>
            <w:tcW w:w="1684" w:type="dxa"/>
            <w:vAlign w:val="bottom"/>
          </w:tcPr>
          <w:p w:rsidRPr="00CE6429" w:rsidR="00446D64" w:rsidP="00BB59BC" w:rsidRDefault="00446D64">
            <w:pPr>
              <w:jc w:val="right"/>
              <w:rPr>
                <w:rFonts w:ascii="Arial" w:hAnsi="Arial" w:cs="Arial"/>
                <w:b/>
                <w:color w:val="000000"/>
              </w:rPr>
            </w:pPr>
            <w:r w:rsidRPr="00CE6429">
              <w:rPr>
                <w:rFonts w:ascii="Arial" w:hAnsi="Arial" w:cs="Arial"/>
                <w:b/>
                <w:color w:val="000000"/>
              </w:rPr>
              <w:t>£2</w:t>
            </w:r>
            <w:r>
              <w:rPr>
                <w:rFonts w:ascii="Arial" w:hAnsi="Arial" w:cs="Arial"/>
                <w:b/>
                <w:color w:val="000000"/>
              </w:rPr>
              <w:t>32</w:t>
            </w:r>
            <w:r w:rsidRPr="00CE6429">
              <w:rPr>
                <w:rFonts w:ascii="Arial" w:hAnsi="Arial" w:cs="Arial"/>
                <w:b/>
                <w:color w:val="000000"/>
              </w:rPr>
              <w:t>,</w:t>
            </w:r>
            <w:r>
              <w:rPr>
                <w:rFonts w:ascii="Arial" w:hAnsi="Arial" w:cs="Arial"/>
                <w:b/>
                <w:color w:val="000000"/>
              </w:rPr>
              <w:t>7</w:t>
            </w:r>
            <w:r w:rsidRPr="00CE6429">
              <w:rPr>
                <w:rFonts w:ascii="Arial" w:hAnsi="Arial" w:cs="Arial"/>
                <w:b/>
                <w:color w:val="000000"/>
              </w:rPr>
              <w:t>6</w:t>
            </w:r>
            <w:r>
              <w:rPr>
                <w:rFonts w:ascii="Arial" w:hAnsi="Arial" w:cs="Arial"/>
                <w:b/>
                <w:color w:val="000000"/>
              </w:rPr>
              <w:t>6</w:t>
            </w:r>
            <w:r w:rsidRPr="00CE6429">
              <w:rPr>
                <w:rFonts w:ascii="Arial" w:hAnsi="Arial" w:cs="Arial"/>
                <w:b/>
                <w:color w:val="000000"/>
              </w:rPr>
              <w:t>,</w:t>
            </w:r>
            <w:r>
              <w:rPr>
                <w:rFonts w:ascii="Arial" w:hAnsi="Arial" w:cs="Arial"/>
                <w:b/>
                <w:color w:val="000000"/>
              </w:rPr>
              <w:t>364</w:t>
            </w:r>
          </w:p>
        </w:tc>
        <w:tc>
          <w:tcPr>
            <w:tcW w:w="1684" w:type="dxa"/>
            <w:vAlign w:val="bottom"/>
          </w:tcPr>
          <w:p w:rsidRPr="00CE6429" w:rsidR="00446D64" w:rsidP="00BB59BC" w:rsidRDefault="00446D64">
            <w:pPr>
              <w:jc w:val="right"/>
              <w:rPr>
                <w:rFonts w:ascii="Arial" w:hAnsi="Arial" w:cs="Arial"/>
                <w:b/>
                <w:color w:val="000000"/>
              </w:rPr>
            </w:pPr>
            <w:r w:rsidRPr="00CE6429">
              <w:rPr>
                <w:rFonts w:ascii="Arial" w:hAnsi="Arial" w:cs="Arial"/>
                <w:b/>
                <w:color w:val="000000"/>
              </w:rPr>
              <w:t>£190,47</w:t>
            </w:r>
            <w:r>
              <w:rPr>
                <w:rFonts w:ascii="Arial" w:hAnsi="Arial" w:cs="Arial"/>
                <w:b/>
                <w:color w:val="000000"/>
              </w:rPr>
              <w:t>5</w:t>
            </w:r>
            <w:r w:rsidRPr="00CE6429">
              <w:rPr>
                <w:rFonts w:ascii="Arial" w:hAnsi="Arial" w:cs="Arial"/>
                <w:b/>
                <w:color w:val="000000"/>
              </w:rPr>
              <w:t>,</w:t>
            </w:r>
            <w:r>
              <w:rPr>
                <w:rFonts w:ascii="Arial" w:hAnsi="Arial" w:cs="Arial"/>
                <w:b/>
                <w:color w:val="000000"/>
              </w:rPr>
              <w:t>645</w:t>
            </w:r>
          </w:p>
        </w:tc>
      </w:tr>
    </w:tbl>
    <w:p w:rsidR="00BF6F47" w:rsidRDefault="00BF6F47">
      <w:pPr>
        <w:rPr>
          <w:rFonts w:ascii="Arial" w:hAnsi="Arial" w:cs="Arial"/>
          <w:b/>
          <w:sz w:val="24"/>
          <w:szCs w:val="24"/>
        </w:rPr>
      </w:pPr>
    </w:p>
    <w:p w:rsidR="00AC2D71" w:rsidRDefault="00BF6F47">
      <w:pPr>
        <w:rPr>
          <w:rFonts w:ascii="Arial" w:hAnsi="Arial" w:cs="Arial"/>
          <w:b/>
          <w:sz w:val="24"/>
          <w:szCs w:val="24"/>
        </w:rPr>
      </w:pPr>
      <w:r w:rsidRPr="00C6420E">
        <w:rPr>
          <w:rFonts w:ascii="Arial" w:hAnsi="Arial" w:cs="Arial"/>
          <w:color w:val="000000"/>
        </w:rPr>
        <w:t>*</w:t>
      </w:r>
      <w:r>
        <w:rPr>
          <w:rFonts w:ascii="Arial" w:hAnsi="Arial" w:cs="Arial"/>
          <w:color w:val="000000"/>
          <w:vertAlign w:val="superscript"/>
        </w:rPr>
        <w:t xml:space="preserve">1 </w:t>
      </w:r>
      <w:proofErr w:type="gramStart"/>
      <w:r w:rsidRPr="00BF6F47">
        <w:rPr>
          <w:rFonts w:ascii="Arial" w:hAnsi="Arial" w:cs="Arial"/>
          <w:sz w:val="18"/>
          <w:szCs w:val="18"/>
        </w:rPr>
        <w:t>Th</w:t>
      </w:r>
      <w:r w:rsidR="00474140">
        <w:rPr>
          <w:rFonts w:ascii="Arial" w:hAnsi="Arial" w:cs="Arial"/>
          <w:sz w:val="18"/>
          <w:szCs w:val="18"/>
        </w:rPr>
        <w:t>is</w:t>
      </w:r>
      <w:proofErr w:type="gramEnd"/>
      <w:r w:rsidR="00474140">
        <w:rPr>
          <w:rFonts w:ascii="Arial" w:hAnsi="Arial" w:cs="Arial"/>
          <w:sz w:val="18"/>
          <w:szCs w:val="18"/>
        </w:rPr>
        <w:t xml:space="preserve"> is the </w:t>
      </w:r>
      <w:r>
        <w:rPr>
          <w:rFonts w:ascii="Arial" w:hAnsi="Arial" w:cs="Arial"/>
          <w:sz w:val="18"/>
          <w:szCs w:val="18"/>
        </w:rPr>
        <w:t xml:space="preserve">NOR used to determine schools’ 2017-18 budgets. The DfE propose that, in future, schools will receive AWPU funding for pupils in ERS provision. The unadjusted NOR figures have been retained for modelling purposes to provide a </w:t>
      </w:r>
      <w:r w:rsidR="00474140">
        <w:rPr>
          <w:rFonts w:ascii="Arial" w:hAnsi="Arial" w:cs="Arial"/>
          <w:sz w:val="18"/>
          <w:szCs w:val="18"/>
        </w:rPr>
        <w:t xml:space="preserve">more </w:t>
      </w:r>
      <w:r>
        <w:rPr>
          <w:rFonts w:ascii="Arial" w:hAnsi="Arial" w:cs="Arial"/>
          <w:sz w:val="18"/>
          <w:szCs w:val="18"/>
        </w:rPr>
        <w:t>consistent comparison with actual 2017-18 budgets.</w:t>
      </w:r>
    </w:p>
    <w:p w:rsidR="00AC2D71" w:rsidRDefault="00AC2D71">
      <w:pPr>
        <w:rPr>
          <w:rFonts w:ascii="Arial" w:hAnsi="Arial" w:cs="Arial"/>
          <w:b/>
          <w:sz w:val="24"/>
          <w:szCs w:val="24"/>
        </w:rPr>
      </w:pPr>
    </w:p>
    <w:p w:rsidRPr="006071AD" w:rsidR="00BA1FAE" w:rsidRDefault="00BA1FAE">
      <w:pPr>
        <w:rPr>
          <w:rFonts w:ascii="Arial" w:hAnsi="Arial" w:cs="Arial"/>
          <w:b/>
          <w:sz w:val="24"/>
          <w:szCs w:val="24"/>
          <w:u w:val="single"/>
        </w:rPr>
      </w:pPr>
      <w:r w:rsidRPr="00BA1FAE">
        <w:rPr>
          <w:rFonts w:ascii="Arial" w:hAnsi="Arial" w:cs="Arial"/>
          <w:b/>
          <w:sz w:val="24"/>
          <w:szCs w:val="24"/>
        </w:rPr>
        <w:t>2.</w:t>
      </w:r>
      <w:r w:rsidR="00446D64">
        <w:rPr>
          <w:rFonts w:ascii="Arial" w:hAnsi="Arial" w:cs="Arial"/>
          <w:b/>
          <w:sz w:val="24"/>
          <w:szCs w:val="24"/>
        </w:rPr>
        <w:t>4</w:t>
      </w:r>
      <w:r w:rsidRPr="00BA1FAE">
        <w:rPr>
          <w:rFonts w:ascii="Arial" w:hAnsi="Arial" w:cs="Arial"/>
          <w:b/>
          <w:sz w:val="24"/>
          <w:szCs w:val="24"/>
        </w:rPr>
        <w:tab/>
      </w:r>
      <w:r w:rsidR="00A92C95">
        <w:rPr>
          <w:rFonts w:ascii="Arial" w:hAnsi="Arial" w:cs="Arial"/>
          <w:b/>
          <w:sz w:val="24"/>
          <w:szCs w:val="24"/>
          <w:u w:val="single"/>
        </w:rPr>
        <w:t>The proposed approach</w:t>
      </w:r>
      <w:r w:rsidR="000158AC">
        <w:rPr>
          <w:rFonts w:ascii="Arial" w:hAnsi="Arial" w:cs="Arial"/>
          <w:b/>
          <w:sz w:val="24"/>
          <w:szCs w:val="24"/>
          <w:u w:val="single"/>
        </w:rPr>
        <w:t xml:space="preserve"> for 2018-19</w:t>
      </w:r>
    </w:p>
    <w:p w:rsidR="00C6420E" w:rsidP="00EE400E" w:rsidRDefault="00C6420E">
      <w:pPr>
        <w:rPr>
          <w:rFonts w:ascii="Arial" w:hAnsi="Arial" w:cs="Arial"/>
          <w:sz w:val="24"/>
          <w:szCs w:val="24"/>
        </w:rPr>
      </w:pPr>
    </w:p>
    <w:p w:rsidR="00AC2D71" w:rsidP="00EE400E" w:rsidRDefault="00A92C95">
      <w:pPr>
        <w:rPr>
          <w:rFonts w:ascii="Arial" w:hAnsi="Arial" w:cs="Arial"/>
          <w:sz w:val="24"/>
          <w:szCs w:val="24"/>
        </w:rPr>
      </w:pPr>
      <w:r>
        <w:rPr>
          <w:rFonts w:ascii="Arial" w:hAnsi="Arial" w:cs="Arial"/>
          <w:sz w:val="24"/>
          <w:szCs w:val="24"/>
        </w:rPr>
        <w:t>The Authority</w:t>
      </w:r>
      <w:r w:rsidR="00D5409F">
        <w:rPr>
          <w:rFonts w:ascii="Arial" w:hAnsi="Arial" w:cs="Arial"/>
          <w:sz w:val="24"/>
          <w:szCs w:val="24"/>
        </w:rPr>
        <w:t xml:space="preserve"> proposes </w:t>
      </w:r>
      <w:r>
        <w:rPr>
          <w:rFonts w:ascii="Arial" w:hAnsi="Arial" w:cs="Arial"/>
          <w:sz w:val="24"/>
          <w:szCs w:val="24"/>
        </w:rPr>
        <w:t xml:space="preserve">to </w:t>
      </w:r>
      <w:r w:rsidR="00AC2D71">
        <w:rPr>
          <w:rFonts w:ascii="Arial" w:hAnsi="Arial" w:cs="Arial"/>
          <w:sz w:val="24"/>
          <w:szCs w:val="24"/>
        </w:rPr>
        <w:t xml:space="preserve">use the NFF, as far as funding will allow, as the basis </w:t>
      </w:r>
      <w:r w:rsidR="0098050E">
        <w:rPr>
          <w:rFonts w:ascii="Arial" w:hAnsi="Arial" w:cs="Arial"/>
          <w:sz w:val="24"/>
          <w:szCs w:val="24"/>
        </w:rPr>
        <w:t xml:space="preserve">for </w:t>
      </w:r>
      <w:r w:rsidR="00AC2D71">
        <w:rPr>
          <w:rFonts w:ascii="Arial" w:hAnsi="Arial" w:cs="Arial"/>
          <w:sz w:val="24"/>
          <w:szCs w:val="24"/>
        </w:rPr>
        <w:t>calculating schools</w:t>
      </w:r>
      <w:r w:rsidR="00D5409F">
        <w:rPr>
          <w:rFonts w:ascii="Arial" w:hAnsi="Arial" w:cs="Arial"/>
          <w:sz w:val="24"/>
          <w:szCs w:val="24"/>
        </w:rPr>
        <w:t>’</w:t>
      </w:r>
      <w:r w:rsidR="00AC2D71">
        <w:rPr>
          <w:rFonts w:ascii="Arial" w:hAnsi="Arial" w:cs="Arial"/>
          <w:sz w:val="24"/>
          <w:szCs w:val="24"/>
        </w:rPr>
        <w:t xml:space="preserve"> budgets </w:t>
      </w:r>
      <w:r w:rsidR="003759D7">
        <w:rPr>
          <w:rFonts w:ascii="Arial" w:hAnsi="Arial" w:cs="Arial"/>
          <w:sz w:val="24"/>
          <w:szCs w:val="24"/>
        </w:rPr>
        <w:t>for 2018-19</w:t>
      </w:r>
      <w:r w:rsidR="00AC2D71">
        <w:rPr>
          <w:rFonts w:ascii="Arial" w:hAnsi="Arial" w:cs="Arial"/>
          <w:sz w:val="24"/>
          <w:szCs w:val="24"/>
        </w:rPr>
        <w:t xml:space="preserve">. The prime reason for adopting this approach is that the 2018-19 Schools Block will itself be largely driven by the NFF (see section 1.2). If the LA were </w:t>
      </w:r>
      <w:r w:rsidR="009E5457">
        <w:rPr>
          <w:rFonts w:ascii="Arial" w:hAnsi="Arial" w:cs="Arial"/>
          <w:sz w:val="24"/>
          <w:szCs w:val="24"/>
        </w:rPr>
        <w:t xml:space="preserve">not </w:t>
      </w:r>
      <w:r w:rsidR="00AC2D71">
        <w:rPr>
          <w:rFonts w:ascii="Arial" w:hAnsi="Arial" w:cs="Arial"/>
          <w:sz w:val="24"/>
          <w:szCs w:val="24"/>
        </w:rPr>
        <w:t xml:space="preserve">to reflect the NFF in the allocations locally, this would </w:t>
      </w:r>
      <w:r w:rsidR="00BC6C66">
        <w:rPr>
          <w:rFonts w:ascii="Arial" w:hAnsi="Arial" w:cs="Arial"/>
          <w:sz w:val="24"/>
          <w:szCs w:val="24"/>
        </w:rPr>
        <w:t xml:space="preserve">mean </w:t>
      </w:r>
      <w:r w:rsidR="00AC2D71">
        <w:rPr>
          <w:rFonts w:ascii="Arial" w:hAnsi="Arial" w:cs="Arial"/>
          <w:sz w:val="24"/>
          <w:szCs w:val="24"/>
        </w:rPr>
        <w:t xml:space="preserve">that the gains of many schools </w:t>
      </w:r>
      <w:r w:rsidR="00BC6C66">
        <w:rPr>
          <w:rFonts w:ascii="Arial" w:hAnsi="Arial" w:cs="Arial"/>
          <w:sz w:val="24"/>
          <w:szCs w:val="24"/>
        </w:rPr>
        <w:t>would instead b</w:t>
      </w:r>
      <w:r w:rsidR="00AC2D71">
        <w:rPr>
          <w:rFonts w:ascii="Arial" w:hAnsi="Arial" w:cs="Arial"/>
          <w:sz w:val="24"/>
          <w:szCs w:val="24"/>
        </w:rPr>
        <w:t xml:space="preserve">e reallocated to other schools. </w:t>
      </w:r>
      <w:r w:rsidR="00171BC6">
        <w:rPr>
          <w:rFonts w:ascii="Arial" w:hAnsi="Arial" w:cs="Arial"/>
          <w:sz w:val="24"/>
          <w:szCs w:val="24"/>
        </w:rPr>
        <w:t xml:space="preserve"> </w:t>
      </w:r>
      <w:r w:rsidR="00AC2D71">
        <w:rPr>
          <w:rFonts w:ascii="Arial" w:hAnsi="Arial" w:cs="Arial"/>
          <w:sz w:val="24"/>
          <w:szCs w:val="24"/>
        </w:rPr>
        <w:t xml:space="preserve">Another reason for moving to the NFF is that it provides greater certainty of funding in future years; an approach which moves to the NFF over several years would potentially </w:t>
      </w:r>
      <w:r w:rsidR="00BC6C66">
        <w:rPr>
          <w:rFonts w:ascii="Arial" w:hAnsi="Arial" w:cs="Arial"/>
          <w:sz w:val="24"/>
          <w:szCs w:val="24"/>
        </w:rPr>
        <w:t xml:space="preserve">create </w:t>
      </w:r>
      <w:r w:rsidR="00AC2D71">
        <w:rPr>
          <w:rFonts w:ascii="Arial" w:hAnsi="Arial" w:cs="Arial"/>
          <w:sz w:val="24"/>
          <w:szCs w:val="24"/>
        </w:rPr>
        <w:t xml:space="preserve">uncertainty about which formula indicators would be changed, and by how much, each year. </w:t>
      </w:r>
    </w:p>
    <w:p w:rsidR="00AC2D71" w:rsidP="00EE400E" w:rsidRDefault="00AC2D71">
      <w:pPr>
        <w:rPr>
          <w:rFonts w:ascii="Arial" w:hAnsi="Arial" w:cs="Arial"/>
          <w:sz w:val="24"/>
          <w:szCs w:val="24"/>
        </w:rPr>
      </w:pPr>
    </w:p>
    <w:p w:rsidR="00AC2D71" w:rsidP="00EE400E" w:rsidRDefault="00AC2D71">
      <w:pPr>
        <w:rPr>
          <w:rFonts w:ascii="Arial" w:hAnsi="Arial" w:cs="Arial"/>
          <w:sz w:val="24"/>
          <w:szCs w:val="24"/>
        </w:rPr>
      </w:pPr>
      <w:r>
        <w:rPr>
          <w:rFonts w:ascii="Arial" w:hAnsi="Arial" w:cs="Arial"/>
          <w:sz w:val="24"/>
          <w:szCs w:val="24"/>
        </w:rPr>
        <w:t xml:space="preserve">It should be noted that adopting the </w:t>
      </w:r>
      <w:r w:rsidR="003759D7">
        <w:rPr>
          <w:rFonts w:ascii="Arial" w:hAnsi="Arial" w:cs="Arial"/>
          <w:sz w:val="24"/>
          <w:szCs w:val="24"/>
        </w:rPr>
        <w:t xml:space="preserve">pure NFF </w:t>
      </w:r>
      <w:r>
        <w:rPr>
          <w:rFonts w:ascii="Arial" w:hAnsi="Arial" w:cs="Arial"/>
          <w:sz w:val="24"/>
          <w:szCs w:val="24"/>
        </w:rPr>
        <w:t xml:space="preserve">in full in 2018-19 </w:t>
      </w:r>
      <w:r w:rsidR="003759D7">
        <w:rPr>
          <w:rFonts w:ascii="Arial" w:hAnsi="Arial" w:cs="Arial"/>
          <w:sz w:val="24"/>
          <w:szCs w:val="24"/>
        </w:rPr>
        <w:t>is unaffordable and it will be necessary to cap some schools</w:t>
      </w:r>
      <w:r w:rsidR="00BC6C66">
        <w:rPr>
          <w:rFonts w:ascii="Arial" w:hAnsi="Arial" w:cs="Arial"/>
          <w:sz w:val="24"/>
          <w:szCs w:val="24"/>
        </w:rPr>
        <w:t>’</w:t>
      </w:r>
      <w:r w:rsidR="003759D7">
        <w:rPr>
          <w:rFonts w:ascii="Arial" w:hAnsi="Arial" w:cs="Arial"/>
          <w:sz w:val="24"/>
          <w:szCs w:val="24"/>
        </w:rPr>
        <w:t xml:space="preserve"> gains</w:t>
      </w:r>
      <w:r>
        <w:rPr>
          <w:rFonts w:ascii="Arial" w:hAnsi="Arial" w:cs="Arial"/>
          <w:sz w:val="24"/>
          <w:szCs w:val="24"/>
        </w:rPr>
        <w:t xml:space="preserve">; this mirrors the basis on which the Schools Block </w:t>
      </w:r>
      <w:r w:rsidR="00D5409F">
        <w:rPr>
          <w:rFonts w:ascii="Arial" w:hAnsi="Arial" w:cs="Arial"/>
          <w:sz w:val="24"/>
          <w:szCs w:val="24"/>
        </w:rPr>
        <w:t xml:space="preserve">itself </w:t>
      </w:r>
      <w:r>
        <w:rPr>
          <w:rFonts w:ascii="Arial" w:hAnsi="Arial" w:cs="Arial"/>
          <w:sz w:val="24"/>
          <w:szCs w:val="24"/>
        </w:rPr>
        <w:t>will be calculated</w:t>
      </w:r>
      <w:r w:rsidR="003759D7">
        <w:rPr>
          <w:rFonts w:ascii="Arial" w:hAnsi="Arial" w:cs="Arial"/>
          <w:sz w:val="24"/>
          <w:szCs w:val="24"/>
        </w:rPr>
        <w:t xml:space="preserve">. </w:t>
      </w:r>
      <w:r w:rsidR="00171BC6">
        <w:rPr>
          <w:rFonts w:ascii="Arial" w:hAnsi="Arial" w:cs="Arial"/>
          <w:sz w:val="24"/>
          <w:szCs w:val="24"/>
        </w:rPr>
        <w:t>The Authority proposes a cap on gains of 3% per pupil for 2018-19.</w:t>
      </w:r>
    </w:p>
    <w:p w:rsidR="00AC2D71" w:rsidP="00EE400E" w:rsidRDefault="00AC2D71">
      <w:pPr>
        <w:rPr>
          <w:rFonts w:ascii="Arial" w:hAnsi="Arial" w:cs="Arial"/>
          <w:sz w:val="24"/>
          <w:szCs w:val="24"/>
        </w:rPr>
      </w:pPr>
    </w:p>
    <w:p w:rsidR="00A92C95" w:rsidP="00EE400E" w:rsidRDefault="00AC2D71">
      <w:pPr>
        <w:rPr>
          <w:rFonts w:ascii="Arial" w:hAnsi="Arial" w:cs="Arial"/>
          <w:sz w:val="24"/>
          <w:szCs w:val="24"/>
        </w:rPr>
      </w:pPr>
      <w:r>
        <w:rPr>
          <w:rFonts w:ascii="Arial" w:hAnsi="Arial" w:cs="Arial"/>
          <w:sz w:val="24"/>
          <w:szCs w:val="24"/>
        </w:rPr>
        <w:t>T</w:t>
      </w:r>
      <w:r w:rsidR="00A92C95">
        <w:rPr>
          <w:rFonts w:ascii="Arial" w:hAnsi="Arial" w:cs="Arial"/>
          <w:sz w:val="24"/>
          <w:szCs w:val="24"/>
        </w:rPr>
        <w:t xml:space="preserve">he Authority </w:t>
      </w:r>
      <w:r>
        <w:rPr>
          <w:rFonts w:ascii="Arial" w:hAnsi="Arial" w:cs="Arial"/>
          <w:sz w:val="24"/>
          <w:szCs w:val="24"/>
        </w:rPr>
        <w:t>does</w:t>
      </w:r>
      <w:r w:rsidR="00D5409F">
        <w:rPr>
          <w:rFonts w:ascii="Arial" w:hAnsi="Arial" w:cs="Arial"/>
          <w:sz w:val="24"/>
          <w:szCs w:val="24"/>
        </w:rPr>
        <w:t>,</w:t>
      </w:r>
      <w:r>
        <w:rPr>
          <w:rFonts w:ascii="Arial" w:hAnsi="Arial" w:cs="Arial"/>
          <w:sz w:val="24"/>
          <w:szCs w:val="24"/>
        </w:rPr>
        <w:t xml:space="preserve"> however</w:t>
      </w:r>
      <w:r w:rsidR="00D5409F">
        <w:rPr>
          <w:rFonts w:ascii="Arial" w:hAnsi="Arial" w:cs="Arial"/>
          <w:sz w:val="24"/>
          <w:szCs w:val="24"/>
        </w:rPr>
        <w:t>,</w:t>
      </w:r>
      <w:r>
        <w:rPr>
          <w:rFonts w:ascii="Arial" w:hAnsi="Arial" w:cs="Arial"/>
          <w:sz w:val="24"/>
          <w:szCs w:val="24"/>
        </w:rPr>
        <w:t xml:space="preserve"> </w:t>
      </w:r>
      <w:r w:rsidR="00A92C95">
        <w:rPr>
          <w:rFonts w:ascii="Arial" w:hAnsi="Arial" w:cs="Arial"/>
          <w:sz w:val="24"/>
          <w:szCs w:val="24"/>
        </w:rPr>
        <w:t>recognise that the impact of the NFF is more favourable to some schools than others</w:t>
      </w:r>
      <w:r w:rsidR="003759D7">
        <w:rPr>
          <w:rFonts w:ascii="Arial" w:hAnsi="Arial" w:cs="Arial"/>
          <w:sz w:val="24"/>
          <w:szCs w:val="24"/>
        </w:rPr>
        <w:t xml:space="preserve"> and therefore </w:t>
      </w:r>
      <w:r w:rsidR="00A92C95">
        <w:rPr>
          <w:rFonts w:ascii="Arial" w:hAnsi="Arial" w:cs="Arial"/>
          <w:sz w:val="24"/>
          <w:szCs w:val="24"/>
        </w:rPr>
        <w:t xml:space="preserve">proposes </w:t>
      </w:r>
      <w:r w:rsidR="00A7025E">
        <w:rPr>
          <w:rFonts w:ascii="Arial" w:hAnsi="Arial" w:cs="Arial"/>
          <w:sz w:val="24"/>
          <w:szCs w:val="24"/>
        </w:rPr>
        <w:t xml:space="preserve">to </w:t>
      </w:r>
      <w:r w:rsidR="00AB475D">
        <w:rPr>
          <w:rFonts w:ascii="Arial" w:hAnsi="Arial" w:cs="Arial"/>
          <w:sz w:val="24"/>
          <w:szCs w:val="24"/>
        </w:rPr>
        <w:t xml:space="preserve">adopt </w:t>
      </w:r>
      <w:r w:rsidR="00213571">
        <w:rPr>
          <w:rFonts w:ascii="Arial" w:hAnsi="Arial" w:cs="Arial"/>
          <w:sz w:val="24"/>
          <w:szCs w:val="24"/>
        </w:rPr>
        <w:t xml:space="preserve">an MFG of </w:t>
      </w:r>
      <w:r w:rsidR="00D5409F">
        <w:rPr>
          <w:rFonts w:ascii="Arial" w:hAnsi="Arial" w:cs="Arial"/>
          <w:sz w:val="24"/>
          <w:szCs w:val="24"/>
        </w:rPr>
        <w:t xml:space="preserve">plus </w:t>
      </w:r>
      <w:r w:rsidR="00A7025E">
        <w:rPr>
          <w:rFonts w:ascii="Arial" w:hAnsi="Arial" w:cs="Arial"/>
          <w:sz w:val="24"/>
          <w:szCs w:val="24"/>
        </w:rPr>
        <w:t xml:space="preserve">0.5 </w:t>
      </w:r>
      <w:r w:rsidR="00213571">
        <w:rPr>
          <w:rFonts w:ascii="Arial" w:hAnsi="Arial" w:cs="Arial"/>
          <w:sz w:val="24"/>
          <w:szCs w:val="24"/>
        </w:rPr>
        <w:t xml:space="preserve">percent per pupil </w:t>
      </w:r>
      <w:r w:rsidR="00A7025E">
        <w:rPr>
          <w:rFonts w:ascii="Arial" w:hAnsi="Arial" w:cs="Arial"/>
          <w:sz w:val="24"/>
          <w:szCs w:val="24"/>
        </w:rPr>
        <w:t>for 2018-19</w:t>
      </w:r>
      <w:r w:rsidR="003759D7">
        <w:rPr>
          <w:rFonts w:ascii="Arial" w:hAnsi="Arial" w:cs="Arial"/>
          <w:sz w:val="24"/>
          <w:szCs w:val="24"/>
        </w:rPr>
        <w:t xml:space="preserve"> to ensure all schools receive an increase</w:t>
      </w:r>
      <w:r w:rsidR="003E5887">
        <w:rPr>
          <w:rFonts w:ascii="Arial" w:hAnsi="Arial" w:cs="Arial"/>
          <w:sz w:val="24"/>
          <w:szCs w:val="24"/>
        </w:rPr>
        <w:t xml:space="preserve">; this is the maximum </w:t>
      </w:r>
      <w:r w:rsidR="00D5409F">
        <w:rPr>
          <w:rFonts w:ascii="Arial" w:hAnsi="Arial" w:cs="Arial"/>
          <w:sz w:val="24"/>
          <w:szCs w:val="24"/>
        </w:rPr>
        <w:t xml:space="preserve">rate </w:t>
      </w:r>
      <w:r w:rsidR="003E5887">
        <w:rPr>
          <w:rFonts w:ascii="Arial" w:hAnsi="Arial" w:cs="Arial"/>
          <w:sz w:val="24"/>
          <w:szCs w:val="24"/>
        </w:rPr>
        <w:t>allowed by the regulations.</w:t>
      </w:r>
      <w:r w:rsidR="00A92C95">
        <w:rPr>
          <w:rFonts w:ascii="Arial" w:hAnsi="Arial" w:cs="Arial"/>
          <w:sz w:val="24"/>
          <w:szCs w:val="24"/>
        </w:rPr>
        <w:t xml:space="preserve"> </w:t>
      </w:r>
    </w:p>
    <w:p w:rsidR="00A92C95" w:rsidP="00EE400E" w:rsidRDefault="00A92C95">
      <w:pPr>
        <w:rPr>
          <w:rFonts w:ascii="Arial" w:hAnsi="Arial" w:cs="Arial"/>
          <w:sz w:val="24"/>
          <w:szCs w:val="24"/>
        </w:rPr>
      </w:pPr>
    </w:p>
    <w:p w:rsidR="00213571" w:rsidP="00EE400E" w:rsidRDefault="00213571">
      <w:pPr>
        <w:rPr>
          <w:rFonts w:ascii="Arial" w:hAnsi="Arial" w:cs="Arial"/>
          <w:sz w:val="24"/>
          <w:szCs w:val="24"/>
        </w:rPr>
      </w:pPr>
      <w:r>
        <w:rPr>
          <w:rFonts w:ascii="Arial" w:hAnsi="Arial" w:cs="Arial"/>
          <w:sz w:val="24"/>
          <w:szCs w:val="24"/>
        </w:rPr>
        <w:t xml:space="preserve">With </w:t>
      </w:r>
      <w:r w:rsidR="00171BC6">
        <w:rPr>
          <w:rFonts w:ascii="Arial" w:hAnsi="Arial" w:cs="Arial"/>
          <w:sz w:val="24"/>
          <w:szCs w:val="24"/>
        </w:rPr>
        <w:t xml:space="preserve">two </w:t>
      </w:r>
      <w:r>
        <w:rPr>
          <w:rFonts w:ascii="Arial" w:hAnsi="Arial" w:cs="Arial"/>
          <w:sz w:val="24"/>
          <w:szCs w:val="24"/>
        </w:rPr>
        <w:t>exception</w:t>
      </w:r>
      <w:r w:rsidR="00171BC6">
        <w:rPr>
          <w:rFonts w:ascii="Arial" w:hAnsi="Arial" w:cs="Arial"/>
          <w:sz w:val="24"/>
          <w:szCs w:val="24"/>
        </w:rPr>
        <w:t>s</w:t>
      </w:r>
      <w:r>
        <w:rPr>
          <w:rFonts w:ascii="Arial" w:hAnsi="Arial" w:cs="Arial"/>
          <w:sz w:val="24"/>
          <w:szCs w:val="24"/>
        </w:rPr>
        <w:t xml:space="preserve">, the </w:t>
      </w:r>
      <w:r w:rsidR="00D5409F">
        <w:rPr>
          <w:rFonts w:ascii="Arial" w:hAnsi="Arial" w:cs="Arial"/>
          <w:sz w:val="24"/>
          <w:szCs w:val="24"/>
        </w:rPr>
        <w:t xml:space="preserve">proposed </w:t>
      </w:r>
      <w:r>
        <w:rPr>
          <w:rFonts w:ascii="Arial" w:hAnsi="Arial" w:cs="Arial"/>
          <w:sz w:val="24"/>
          <w:szCs w:val="24"/>
        </w:rPr>
        <w:t>model will utilise the NFF multipliers and counts</w:t>
      </w:r>
      <w:r w:rsidR="003759D7">
        <w:rPr>
          <w:rFonts w:ascii="Arial" w:hAnsi="Arial" w:cs="Arial"/>
          <w:sz w:val="24"/>
          <w:szCs w:val="24"/>
        </w:rPr>
        <w:t xml:space="preserve"> in full</w:t>
      </w:r>
      <w:r>
        <w:rPr>
          <w:rFonts w:ascii="Arial" w:hAnsi="Arial" w:cs="Arial"/>
          <w:sz w:val="24"/>
          <w:szCs w:val="24"/>
        </w:rPr>
        <w:t xml:space="preserve">. This means </w:t>
      </w:r>
      <w:r w:rsidR="00D5409F">
        <w:rPr>
          <w:rFonts w:ascii="Arial" w:hAnsi="Arial" w:cs="Arial"/>
          <w:sz w:val="24"/>
          <w:szCs w:val="24"/>
        </w:rPr>
        <w:t xml:space="preserve">that </w:t>
      </w:r>
      <w:r>
        <w:rPr>
          <w:rFonts w:ascii="Arial" w:hAnsi="Arial" w:cs="Arial"/>
          <w:sz w:val="24"/>
          <w:szCs w:val="24"/>
        </w:rPr>
        <w:t>Derbyshire’s formula will</w:t>
      </w:r>
      <w:r w:rsidR="00D5409F">
        <w:rPr>
          <w:rFonts w:ascii="Arial" w:hAnsi="Arial" w:cs="Arial"/>
          <w:sz w:val="24"/>
          <w:szCs w:val="24"/>
        </w:rPr>
        <w:t>,</w:t>
      </w:r>
      <w:r>
        <w:rPr>
          <w:rFonts w:ascii="Arial" w:hAnsi="Arial" w:cs="Arial"/>
          <w:sz w:val="24"/>
          <w:szCs w:val="24"/>
        </w:rPr>
        <w:t xml:space="preserve"> for the first time</w:t>
      </w:r>
      <w:r w:rsidR="00D5409F">
        <w:rPr>
          <w:rFonts w:ascii="Arial" w:hAnsi="Arial" w:cs="Arial"/>
          <w:sz w:val="24"/>
          <w:szCs w:val="24"/>
        </w:rPr>
        <w:t>,</w:t>
      </w:r>
      <w:r>
        <w:rPr>
          <w:rFonts w:ascii="Arial" w:hAnsi="Arial" w:cs="Arial"/>
          <w:sz w:val="24"/>
          <w:szCs w:val="24"/>
        </w:rPr>
        <w:t xml:space="preserve"> use IDACI to allocate some of the funding for deprivation and EAL3 rather than EAL1 as the indicator to allocate support to children whose first language is not English.</w:t>
      </w:r>
    </w:p>
    <w:p w:rsidR="00213571" w:rsidP="00EE400E" w:rsidRDefault="00213571">
      <w:pPr>
        <w:rPr>
          <w:rFonts w:ascii="Arial" w:hAnsi="Arial" w:cs="Arial"/>
          <w:sz w:val="24"/>
          <w:szCs w:val="24"/>
        </w:rPr>
      </w:pPr>
    </w:p>
    <w:p w:rsidR="003E5887" w:rsidP="00171BC6" w:rsidRDefault="00A92C95">
      <w:pPr>
        <w:rPr>
          <w:rFonts w:ascii="Arial" w:hAnsi="Arial" w:cs="Arial"/>
          <w:sz w:val="24"/>
          <w:szCs w:val="24"/>
        </w:rPr>
      </w:pPr>
      <w:r>
        <w:rPr>
          <w:rFonts w:ascii="Arial" w:hAnsi="Arial" w:cs="Arial"/>
          <w:sz w:val="24"/>
          <w:szCs w:val="24"/>
        </w:rPr>
        <w:t>The</w:t>
      </w:r>
      <w:r w:rsidR="003759D7">
        <w:rPr>
          <w:rFonts w:ascii="Arial" w:hAnsi="Arial" w:cs="Arial"/>
          <w:sz w:val="24"/>
          <w:szCs w:val="24"/>
        </w:rPr>
        <w:t xml:space="preserve"> </w:t>
      </w:r>
      <w:r w:rsidR="00171BC6">
        <w:rPr>
          <w:rFonts w:ascii="Arial" w:hAnsi="Arial" w:cs="Arial"/>
          <w:sz w:val="24"/>
          <w:szCs w:val="24"/>
        </w:rPr>
        <w:t xml:space="preserve">first </w:t>
      </w:r>
      <w:r>
        <w:rPr>
          <w:rFonts w:ascii="Arial" w:hAnsi="Arial" w:cs="Arial"/>
          <w:sz w:val="24"/>
          <w:szCs w:val="24"/>
        </w:rPr>
        <w:t xml:space="preserve">exception </w:t>
      </w:r>
      <w:r w:rsidR="00213571">
        <w:rPr>
          <w:rFonts w:ascii="Arial" w:hAnsi="Arial" w:cs="Arial"/>
          <w:sz w:val="24"/>
          <w:szCs w:val="24"/>
        </w:rPr>
        <w:t xml:space="preserve">is </w:t>
      </w:r>
      <w:r>
        <w:rPr>
          <w:rFonts w:ascii="Arial" w:hAnsi="Arial" w:cs="Arial"/>
          <w:sz w:val="24"/>
          <w:szCs w:val="24"/>
        </w:rPr>
        <w:t xml:space="preserve">the primary sector Low Prior Attainment </w:t>
      </w:r>
      <w:r w:rsidR="0098050E">
        <w:rPr>
          <w:rFonts w:ascii="Arial" w:hAnsi="Arial" w:cs="Arial"/>
          <w:sz w:val="24"/>
          <w:szCs w:val="24"/>
        </w:rPr>
        <w:t xml:space="preserve">(LPA) </w:t>
      </w:r>
      <w:r w:rsidR="008A6600">
        <w:rPr>
          <w:rFonts w:ascii="Arial" w:hAnsi="Arial" w:cs="Arial"/>
          <w:sz w:val="24"/>
          <w:szCs w:val="24"/>
        </w:rPr>
        <w:t>indicator</w:t>
      </w:r>
      <w:r>
        <w:rPr>
          <w:rFonts w:ascii="Arial" w:hAnsi="Arial" w:cs="Arial"/>
          <w:sz w:val="24"/>
          <w:szCs w:val="24"/>
        </w:rPr>
        <w:t>, previously referred to in Derbyshire as the Low Cost High Incidence</w:t>
      </w:r>
      <w:r w:rsidR="004321B4">
        <w:rPr>
          <w:rFonts w:ascii="Arial" w:hAnsi="Arial" w:cs="Arial"/>
          <w:sz w:val="24"/>
          <w:szCs w:val="24"/>
        </w:rPr>
        <w:t xml:space="preserve"> (LCHI) factor</w:t>
      </w:r>
      <w:r>
        <w:rPr>
          <w:rFonts w:ascii="Arial" w:hAnsi="Arial" w:cs="Arial"/>
          <w:sz w:val="24"/>
          <w:szCs w:val="24"/>
        </w:rPr>
        <w:t>. The primary NFF multiplier is £1,050 per pupil which is 6.5 times greater than Derbyshire’s multiplier.  In addition</w:t>
      </w:r>
      <w:r w:rsidR="004321B4">
        <w:rPr>
          <w:rFonts w:ascii="Arial" w:hAnsi="Arial" w:cs="Arial"/>
          <w:sz w:val="24"/>
          <w:szCs w:val="24"/>
        </w:rPr>
        <w:t xml:space="preserve">, </w:t>
      </w:r>
      <w:r>
        <w:rPr>
          <w:rFonts w:ascii="Arial" w:hAnsi="Arial" w:cs="Arial"/>
          <w:sz w:val="24"/>
          <w:szCs w:val="24"/>
        </w:rPr>
        <w:t>the formula counts have changed in two ways fo</w:t>
      </w:r>
      <w:r w:rsidR="008A6600">
        <w:rPr>
          <w:rFonts w:ascii="Arial" w:hAnsi="Arial" w:cs="Arial"/>
          <w:sz w:val="24"/>
          <w:szCs w:val="24"/>
        </w:rPr>
        <w:t>r</w:t>
      </w:r>
      <w:r>
        <w:rPr>
          <w:rFonts w:ascii="Arial" w:hAnsi="Arial" w:cs="Arial"/>
          <w:sz w:val="24"/>
          <w:szCs w:val="24"/>
        </w:rPr>
        <w:t xml:space="preserve"> Derbyshire. </w:t>
      </w:r>
      <w:r w:rsidR="00171BC6">
        <w:rPr>
          <w:rFonts w:ascii="Arial" w:hAnsi="Arial" w:cs="Arial"/>
          <w:sz w:val="24"/>
          <w:szCs w:val="24"/>
        </w:rPr>
        <w:t xml:space="preserve">For </w:t>
      </w:r>
      <w:r>
        <w:rPr>
          <w:rFonts w:ascii="Arial" w:hAnsi="Arial" w:cs="Arial"/>
          <w:sz w:val="24"/>
          <w:szCs w:val="24"/>
        </w:rPr>
        <w:t xml:space="preserve">Years 5 and 6, the counts are based on the number of pupils scoring less than 78 in the relevant tests i.e. the counts </w:t>
      </w:r>
      <w:r w:rsidR="00BC6C66">
        <w:rPr>
          <w:rFonts w:ascii="Arial" w:hAnsi="Arial" w:cs="Arial"/>
          <w:sz w:val="24"/>
          <w:szCs w:val="24"/>
        </w:rPr>
        <w:t xml:space="preserve">include more children than Derbyshire’s formula which uses scores </w:t>
      </w:r>
      <w:r w:rsidR="008A6600">
        <w:rPr>
          <w:rFonts w:ascii="Arial" w:hAnsi="Arial" w:cs="Arial"/>
          <w:sz w:val="24"/>
          <w:szCs w:val="24"/>
        </w:rPr>
        <w:t>below 73</w:t>
      </w:r>
      <w:r>
        <w:rPr>
          <w:rFonts w:ascii="Arial" w:hAnsi="Arial" w:cs="Arial"/>
          <w:sz w:val="24"/>
          <w:szCs w:val="24"/>
        </w:rPr>
        <w:t xml:space="preserve">.  </w:t>
      </w:r>
      <w:r w:rsidR="00171BC6">
        <w:rPr>
          <w:rFonts w:ascii="Arial" w:hAnsi="Arial" w:cs="Arial"/>
          <w:sz w:val="24"/>
          <w:szCs w:val="24"/>
        </w:rPr>
        <w:t xml:space="preserve">The second, more important, change is that </w:t>
      </w:r>
      <w:r w:rsidR="003E5887">
        <w:rPr>
          <w:rFonts w:ascii="Arial" w:hAnsi="Arial" w:cs="Arial"/>
          <w:sz w:val="24"/>
          <w:szCs w:val="24"/>
        </w:rPr>
        <w:t xml:space="preserve">allocations </w:t>
      </w:r>
      <w:r>
        <w:rPr>
          <w:rFonts w:ascii="Arial" w:hAnsi="Arial" w:cs="Arial"/>
          <w:sz w:val="24"/>
          <w:szCs w:val="24"/>
        </w:rPr>
        <w:t xml:space="preserve">for Years 1-4 </w:t>
      </w:r>
      <w:r w:rsidR="00BC6C66">
        <w:rPr>
          <w:rFonts w:ascii="Arial" w:hAnsi="Arial" w:cs="Arial"/>
          <w:sz w:val="24"/>
          <w:szCs w:val="24"/>
        </w:rPr>
        <w:t xml:space="preserve">are </w:t>
      </w:r>
      <w:r>
        <w:rPr>
          <w:rFonts w:ascii="Arial" w:hAnsi="Arial" w:cs="Arial"/>
          <w:sz w:val="24"/>
          <w:szCs w:val="24"/>
        </w:rPr>
        <w:t>based on the number of children not achieving a good level of development</w:t>
      </w:r>
      <w:r w:rsidR="00AB4577">
        <w:rPr>
          <w:rFonts w:ascii="Arial" w:hAnsi="Arial" w:cs="Arial"/>
          <w:sz w:val="24"/>
          <w:szCs w:val="24"/>
        </w:rPr>
        <w:t xml:space="preserve"> and t</w:t>
      </w:r>
      <w:r>
        <w:rPr>
          <w:rFonts w:ascii="Arial" w:hAnsi="Arial" w:cs="Arial"/>
          <w:sz w:val="24"/>
          <w:szCs w:val="24"/>
        </w:rPr>
        <w:t xml:space="preserve">he counts for these years are </w:t>
      </w:r>
      <w:r w:rsidR="004321B4">
        <w:rPr>
          <w:rFonts w:ascii="Arial" w:hAnsi="Arial" w:cs="Arial"/>
          <w:sz w:val="24"/>
          <w:szCs w:val="24"/>
        </w:rPr>
        <w:t xml:space="preserve">generally </w:t>
      </w:r>
      <w:r>
        <w:rPr>
          <w:rFonts w:ascii="Arial" w:hAnsi="Arial" w:cs="Arial"/>
          <w:sz w:val="24"/>
          <w:szCs w:val="24"/>
        </w:rPr>
        <w:t xml:space="preserve">much higher </w:t>
      </w:r>
      <w:r w:rsidR="004321B4">
        <w:rPr>
          <w:rFonts w:ascii="Arial" w:hAnsi="Arial" w:cs="Arial"/>
          <w:sz w:val="24"/>
          <w:szCs w:val="24"/>
        </w:rPr>
        <w:t xml:space="preserve">than those under the </w:t>
      </w:r>
      <w:r w:rsidR="00DE79B6">
        <w:rPr>
          <w:rFonts w:ascii="Arial" w:hAnsi="Arial" w:cs="Arial"/>
          <w:sz w:val="24"/>
          <w:szCs w:val="24"/>
        </w:rPr>
        <w:t xml:space="preserve">previous </w:t>
      </w:r>
      <w:r w:rsidR="004321B4">
        <w:rPr>
          <w:rFonts w:ascii="Arial" w:hAnsi="Arial" w:cs="Arial"/>
          <w:sz w:val="24"/>
          <w:szCs w:val="24"/>
        </w:rPr>
        <w:t>tests</w:t>
      </w:r>
      <w:r w:rsidR="00AB4577">
        <w:rPr>
          <w:rFonts w:ascii="Arial" w:hAnsi="Arial" w:cs="Arial"/>
          <w:sz w:val="24"/>
          <w:szCs w:val="24"/>
        </w:rPr>
        <w:t xml:space="preserve">. Unlike in Derbyshire’s own formula the counts </w:t>
      </w:r>
      <w:r w:rsidR="003E5887">
        <w:rPr>
          <w:rFonts w:ascii="Arial" w:hAnsi="Arial" w:cs="Arial"/>
          <w:sz w:val="24"/>
          <w:szCs w:val="24"/>
        </w:rPr>
        <w:t xml:space="preserve">published by the DfE </w:t>
      </w:r>
      <w:r w:rsidR="00AB4577">
        <w:rPr>
          <w:rFonts w:ascii="Arial" w:hAnsi="Arial" w:cs="Arial"/>
          <w:sz w:val="24"/>
          <w:szCs w:val="24"/>
        </w:rPr>
        <w:t xml:space="preserve">have not been scaled back to </w:t>
      </w:r>
      <w:r w:rsidR="003E5887">
        <w:rPr>
          <w:rFonts w:ascii="Arial" w:hAnsi="Arial" w:cs="Arial"/>
          <w:sz w:val="24"/>
          <w:szCs w:val="24"/>
        </w:rPr>
        <w:t xml:space="preserve">bring the </w:t>
      </w:r>
      <w:r w:rsidR="00AB4577">
        <w:rPr>
          <w:rFonts w:ascii="Arial" w:hAnsi="Arial" w:cs="Arial"/>
          <w:sz w:val="24"/>
          <w:szCs w:val="24"/>
        </w:rPr>
        <w:t>proportion of children attracting support in these year groups consistent with Years 5 and 6</w:t>
      </w:r>
      <w:r w:rsidR="003E5887">
        <w:rPr>
          <w:rFonts w:ascii="Arial" w:hAnsi="Arial" w:cs="Arial"/>
          <w:sz w:val="24"/>
          <w:szCs w:val="24"/>
        </w:rPr>
        <w:t xml:space="preserve">. </w:t>
      </w:r>
    </w:p>
    <w:p w:rsidR="008A6600" w:rsidP="00EE400E" w:rsidRDefault="003E5887">
      <w:pPr>
        <w:rPr>
          <w:rFonts w:ascii="Arial" w:hAnsi="Arial" w:cs="Arial"/>
          <w:sz w:val="24"/>
          <w:szCs w:val="24"/>
        </w:rPr>
      </w:pPr>
      <w:r>
        <w:rPr>
          <w:rFonts w:ascii="Arial" w:hAnsi="Arial" w:cs="Arial"/>
          <w:sz w:val="24"/>
          <w:szCs w:val="24"/>
        </w:rPr>
        <w:lastRenderedPageBreak/>
        <w:t xml:space="preserve">The above changes have resulted in </w:t>
      </w:r>
      <w:r w:rsidR="00AB4577">
        <w:rPr>
          <w:rFonts w:ascii="Arial" w:hAnsi="Arial" w:cs="Arial"/>
          <w:sz w:val="24"/>
          <w:szCs w:val="24"/>
        </w:rPr>
        <w:t>a much higher overall count</w:t>
      </w:r>
      <w:r>
        <w:rPr>
          <w:rFonts w:ascii="Arial" w:hAnsi="Arial" w:cs="Arial"/>
          <w:sz w:val="24"/>
          <w:szCs w:val="24"/>
        </w:rPr>
        <w:t xml:space="preserve"> and therefore a significantly higher </w:t>
      </w:r>
      <w:r w:rsidR="00BC6C66">
        <w:rPr>
          <w:rFonts w:ascii="Arial" w:hAnsi="Arial" w:cs="Arial"/>
          <w:sz w:val="24"/>
          <w:szCs w:val="24"/>
        </w:rPr>
        <w:t xml:space="preserve">level </w:t>
      </w:r>
      <w:r>
        <w:rPr>
          <w:rFonts w:ascii="Arial" w:hAnsi="Arial" w:cs="Arial"/>
          <w:sz w:val="24"/>
          <w:szCs w:val="24"/>
        </w:rPr>
        <w:t>of funding in the NFF for LPA</w:t>
      </w:r>
      <w:r w:rsidR="00A92C95">
        <w:rPr>
          <w:rFonts w:ascii="Arial" w:hAnsi="Arial" w:cs="Arial"/>
          <w:sz w:val="24"/>
          <w:szCs w:val="24"/>
        </w:rPr>
        <w:t>.</w:t>
      </w:r>
      <w:r>
        <w:rPr>
          <w:rFonts w:ascii="Arial" w:hAnsi="Arial" w:cs="Arial"/>
          <w:sz w:val="24"/>
          <w:szCs w:val="24"/>
        </w:rPr>
        <w:t xml:space="preserve">  </w:t>
      </w:r>
      <w:r w:rsidR="00A92C95">
        <w:rPr>
          <w:rFonts w:ascii="Arial" w:hAnsi="Arial" w:cs="Arial"/>
          <w:sz w:val="24"/>
          <w:szCs w:val="24"/>
        </w:rPr>
        <w:t xml:space="preserve">The </w:t>
      </w:r>
      <w:r w:rsidR="000E2F11">
        <w:rPr>
          <w:rFonts w:ascii="Arial" w:hAnsi="Arial" w:cs="Arial"/>
          <w:sz w:val="24"/>
          <w:szCs w:val="24"/>
        </w:rPr>
        <w:t xml:space="preserve">LPA </w:t>
      </w:r>
      <w:r w:rsidR="00A92C95">
        <w:rPr>
          <w:rFonts w:ascii="Arial" w:hAnsi="Arial" w:cs="Arial"/>
          <w:sz w:val="24"/>
          <w:szCs w:val="24"/>
        </w:rPr>
        <w:t xml:space="preserve">funding </w:t>
      </w:r>
      <w:r w:rsidR="000E2F11">
        <w:rPr>
          <w:rFonts w:ascii="Arial" w:hAnsi="Arial" w:cs="Arial"/>
          <w:sz w:val="24"/>
          <w:szCs w:val="24"/>
        </w:rPr>
        <w:t xml:space="preserve">implied by the new </w:t>
      </w:r>
      <w:r w:rsidR="00AB4577">
        <w:rPr>
          <w:rFonts w:ascii="Arial" w:hAnsi="Arial" w:cs="Arial"/>
          <w:sz w:val="24"/>
          <w:szCs w:val="24"/>
        </w:rPr>
        <w:t xml:space="preserve">NFF </w:t>
      </w:r>
      <w:r w:rsidR="000E2F11">
        <w:rPr>
          <w:rFonts w:ascii="Arial" w:hAnsi="Arial" w:cs="Arial"/>
          <w:sz w:val="24"/>
          <w:szCs w:val="24"/>
        </w:rPr>
        <w:t xml:space="preserve">multipliers and counts </w:t>
      </w:r>
      <w:r w:rsidR="004321B4">
        <w:rPr>
          <w:rFonts w:ascii="Arial" w:hAnsi="Arial" w:cs="Arial"/>
          <w:sz w:val="24"/>
          <w:szCs w:val="24"/>
        </w:rPr>
        <w:t xml:space="preserve">for Derbyshire </w:t>
      </w:r>
      <w:r w:rsidR="000E2F11">
        <w:rPr>
          <w:rFonts w:ascii="Arial" w:hAnsi="Arial" w:cs="Arial"/>
          <w:sz w:val="24"/>
          <w:szCs w:val="24"/>
        </w:rPr>
        <w:t>is £18.825m</w:t>
      </w:r>
      <w:r w:rsidR="00171BC6">
        <w:rPr>
          <w:rFonts w:ascii="Arial" w:hAnsi="Arial" w:cs="Arial"/>
          <w:sz w:val="24"/>
          <w:szCs w:val="24"/>
        </w:rPr>
        <w:t xml:space="preserve"> which </w:t>
      </w:r>
      <w:r w:rsidR="000E2F11">
        <w:rPr>
          <w:rFonts w:ascii="Arial" w:hAnsi="Arial" w:cs="Arial"/>
          <w:sz w:val="24"/>
          <w:szCs w:val="24"/>
        </w:rPr>
        <w:t xml:space="preserve">compares with the £1.051m distributed through </w:t>
      </w:r>
      <w:r w:rsidR="008A6600">
        <w:rPr>
          <w:rFonts w:ascii="Arial" w:hAnsi="Arial" w:cs="Arial"/>
          <w:sz w:val="24"/>
          <w:szCs w:val="24"/>
        </w:rPr>
        <w:t xml:space="preserve">our </w:t>
      </w:r>
      <w:r w:rsidR="000E2F11">
        <w:rPr>
          <w:rFonts w:ascii="Arial" w:hAnsi="Arial" w:cs="Arial"/>
          <w:sz w:val="24"/>
          <w:szCs w:val="24"/>
        </w:rPr>
        <w:t>formula</w:t>
      </w:r>
      <w:r w:rsidR="00171BC6">
        <w:rPr>
          <w:rFonts w:ascii="Arial" w:hAnsi="Arial" w:cs="Arial"/>
          <w:sz w:val="24"/>
          <w:szCs w:val="24"/>
        </w:rPr>
        <w:t xml:space="preserve"> currently</w:t>
      </w:r>
      <w:r w:rsidR="000E2F11">
        <w:rPr>
          <w:rFonts w:ascii="Arial" w:hAnsi="Arial" w:cs="Arial"/>
          <w:sz w:val="24"/>
          <w:szCs w:val="24"/>
        </w:rPr>
        <w:t xml:space="preserve">. </w:t>
      </w:r>
      <w:r>
        <w:rPr>
          <w:rFonts w:ascii="Arial" w:hAnsi="Arial" w:cs="Arial"/>
          <w:sz w:val="24"/>
          <w:szCs w:val="24"/>
        </w:rPr>
        <w:t>Locally, i</w:t>
      </w:r>
      <w:r w:rsidR="000E2F11">
        <w:rPr>
          <w:rFonts w:ascii="Arial" w:hAnsi="Arial" w:cs="Arial"/>
          <w:sz w:val="24"/>
          <w:szCs w:val="24"/>
        </w:rPr>
        <w:t xml:space="preserve">f the primary sector LPA changes were to be implemented in </w:t>
      </w:r>
      <w:r>
        <w:rPr>
          <w:rFonts w:ascii="Arial" w:hAnsi="Arial" w:cs="Arial"/>
          <w:sz w:val="24"/>
          <w:szCs w:val="24"/>
        </w:rPr>
        <w:t xml:space="preserve">our formula next year in </w:t>
      </w:r>
      <w:r w:rsidR="000E2F11">
        <w:rPr>
          <w:rFonts w:ascii="Arial" w:hAnsi="Arial" w:cs="Arial"/>
          <w:sz w:val="24"/>
          <w:szCs w:val="24"/>
        </w:rPr>
        <w:t>full</w:t>
      </w:r>
      <w:r w:rsidR="00BC6C66">
        <w:rPr>
          <w:rFonts w:ascii="Arial" w:hAnsi="Arial" w:cs="Arial"/>
          <w:sz w:val="24"/>
          <w:szCs w:val="24"/>
        </w:rPr>
        <w:t xml:space="preserve">, </w:t>
      </w:r>
      <w:r w:rsidR="000E2F11">
        <w:rPr>
          <w:rFonts w:ascii="Arial" w:hAnsi="Arial" w:cs="Arial"/>
          <w:sz w:val="24"/>
          <w:szCs w:val="24"/>
        </w:rPr>
        <w:t xml:space="preserve">then </w:t>
      </w:r>
      <w:r w:rsidR="00BC6C66">
        <w:rPr>
          <w:rFonts w:ascii="Arial" w:hAnsi="Arial" w:cs="Arial"/>
          <w:sz w:val="24"/>
          <w:szCs w:val="24"/>
        </w:rPr>
        <w:t xml:space="preserve">the </w:t>
      </w:r>
      <w:r w:rsidR="000E2F11">
        <w:rPr>
          <w:rFonts w:ascii="Arial" w:hAnsi="Arial" w:cs="Arial"/>
          <w:sz w:val="24"/>
          <w:szCs w:val="24"/>
        </w:rPr>
        <w:t xml:space="preserve">other multipliers would have to be </w:t>
      </w:r>
      <w:r w:rsidR="00BC6C66">
        <w:rPr>
          <w:rFonts w:ascii="Arial" w:hAnsi="Arial" w:cs="Arial"/>
          <w:sz w:val="24"/>
          <w:szCs w:val="24"/>
        </w:rPr>
        <w:t xml:space="preserve">scaled back considerably to offset the </w:t>
      </w:r>
      <w:r w:rsidR="00D5409F">
        <w:rPr>
          <w:rFonts w:ascii="Arial" w:hAnsi="Arial" w:cs="Arial"/>
          <w:sz w:val="24"/>
          <w:szCs w:val="24"/>
        </w:rPr>
        <w:t xml:space="preserve">additional </w:t>
      </w:r>
      <w:r w:rsidR="00BC6C66">
        <w:rPr>
          <w:rFonts w:ascii="Arial" w:hAnsi="Arial" w:cs="Arial"/>
          <w:sz w:val="24"/>
          <w:szCs w:val="24"/>
        </w:rPr>
        <w:t>cost.</w:t>
      </w:r>
    </w:p>
    <w:p w:rsidR="003E5887" w:rsidP="00EE400E" w:rsidRDefault="003E5887">
      <w:pPr>
        <w:rPr>
          <w:rFonts w:ascii="Arial" w:hAnsi="Arial" w:cs="Arial"/>
          <w:sz w:val="24"/>
          <w:szCs w:val="24"/>
        </w:rPr>
      </w:pPr>
    </w:p>
    <w:p w:rsidR="00A7025E" w:rsidP="008E654F" w:rsidRDefault="000E2F11">
      <w:pPr>
        <w:rPr>
          <w:rFonts w:ascii="Arial" w:hAnsi="Arial" w:cs="Arial"/>
          <w:sz w:val="24"/>
          <w:szCs w:val="24"/>
        </w:rPr>
      </w:pPr>
      <w:r>
        <w:rPr>
          <w:rFonts w:ascii="Arial" w:hAnsi="Arial" w:cs="Arial"/>
          <w:sz w:val="24"/>
          <w:szCs w:val="24"/>
        </w:rPr>
        <w:t xml:space="preserve">To </w:t>
      </w:r>
      <w:r w:rsidR="008A6600">
        <w:rPr>
          <w:rFonts w:ascii="Arial" w:hAnsi="Arial" w:cs="Arial"/>
          <w:sz w:val="24"/>
          <w:szCs w:val="24"/>
        </w:rPr>
        <w:t xml:space="preserve">ensure progress is made towards the NFF </w:t>
      </w:r>
      <w:r>
        <w:rPr>
          <w:rFonts w:ascii="Arial" w:hAnsi="Arial" w:cs="Arial"/>
          <w:sz w:val="24"/>
          <w:szCs w:val="24"/>
        </w:rPr>
        <w:t xml:space="preserve">the Authority proposes to allocate additional funding to the primary LPA factor </w:t>
      </w:r>
      <w:r w:rsidR="00AB4577">
        <w:rPr>
          <w:rFonts w:ascii="Arial" w:hAnsi="Arial" w:cs="Arial"/>
          <w:sz w:val="24"/>
          <w:szCs w:val="24"/>
        </w:rPr>
        <w:t xml:space="preserve">only </w:t>
      </w:r>
      <w:r>
        <w:rPr>
          <w:rFonts w:ascii="Arial" w:hAnsi="Arial" w:cs="Arial"/>
          <w:sz w:val="24"/>
          <w:szCs w:val="24"/>
        </w:rPr>
        <w:t xml:space="preserve">once funding for the other NFF multipliers </w:t>
      </w:r>
      <w:r w:rsidR="004321B4">
        <w:rPr>
          <w:rFonts w:ascii="Arial" w:hAnsi="Arial" w:cs="Arial"/>
          <w:sz w:val="24"/>
          <w:szCs w:val="24"/>
        </w:rPr>
        <w:t xml:space="preserve">and MFG protection </w:t>
      </w:r>
      <w:r>
        <w:rPr>
          <w:rFonts w:ascii="Arial" w:hAnsi="Arial" w:cs="Arial"/>
          <w:sz w:val="24"/>
          <w:szCs w:val="24"/>
        </w:rPr>
        <w:t>ha</w:t>
      </w:r>
      <w:r w:rsidR="004321B4">
        <w:rPr>
          <w:rFonts w:ascii="Arial" w:hAnsi="Arial" w:cs="Arial"/>
          <w:sz w:val="24"/>
          <w:szCs w:val="24"/>
        </w:rPr>
        <w:t>s</w:t>
      </w:r>
      <w:r>
        <w:rPr>
          <w:rFonts w:ascii="Arial" w:hAnsi="Arial" w:cs="Arial"/>
          <w:sz w:val="24"/>
          <w:szCs w:val="24"/>
        </w:rPr>
        <w:t xml:space="preserve"> been set aside. </w:t>
      </w:r>
      <w:r w:rsidR="008A6600">
        <w:rPr>
          <w:rFonts w:ascii="Arial" w:hAnsi="Arial" w:cs="Arial"/>
          <w:sz w:val="24"/>
          <w:szCs w:val="24"/>
        </w:rPr>
        <w:t xml:space="preserve"> </w:t>
      </w:r>
      <w:r w:rsidR="00D5409F">
        <w:rPr>
          <w:rFonts w:ascii="Arial" w:hAnsi="Arial" w:cs="Arial"/>
          <w:sz w:val="24"/>
          <w:szCs w:val="24"/>
        </w:rPr>
        <w:t xml:space="preserve">Even with this restriction, </w:t>
      </w:r>
      <w:r w:rsidR="003E5887">
        <w:rPr>
          <w:rFonts w:ascii="Arial" w:hAnsi="Arial" w:cs="Arial"/>
          <w:sz w:val="24"/>
          <w:szCs w:val="24"/>
        </w:rPr>
        <w:t xml:space="preserve">this </w:t>
      </w:r>
      <w:r w:rsidR="00BC6C66">
        <w:rPr>
          <w:rFonts w:ascii="Arial" w:hAnsi="Arial" w:cs="Arial"/>
          <w:sz w:val="24"/>
          <w:szCs w:val="24"/>
        </w:rPr>
        <w:t xml:space="preserve">approach </w:t>
      </w:r>
      <w:r w:rsidR="003E5887">
        <w:rPr>
          <w:rFonts w:ascii="Arial" w:hAnsi="Arial" w:cs="Arial"/>
          <w:sz w:val="24"/>
          <w:szCs w:val="24"/>
        </w:rPr>
        <w:t xml:space="preserve">will still </w:t>
      </w:r>
      <w:r w:rsidR="00BC6C66">
        <w:rPr>
          <w:rFonts w:ascii="Arial" w:hAnsi="Arial" w:cs="Arial"/>
          <w:sz w:val="24"/>
          <w:szCs w:val="24"/>
        </w:rPr>
        <w:t xml:space="preserve">result in </w:t>
      </w:r>
      <w:r w:rsidR="003E5887">
        <w:rPr>
          <w:rFonts w:ascii="Arial" w:hAnsi="Arial" w:cs="Arial"/>
          <w:sz w:val="24"/>
          <w:szCs w:val="24"/>
        </w:rPr>
        <w:t xml:space="preserve">a significant increase in the funding </w:t>
      </w:r>
      <w:r w:rsidR="00BC6C66">
        <w:rPr>
          <w:rFonts w:ascii="Arial" w:hAnsi="Arial" w:cs="Arial"/>
          <w:sz w:val="24"/>
          <w:szCs w:val="24"/>
        </w:rPr>
        <w:t xml:space="preserve">allocated via the LPA indicator </w:t>
      </w:r>
      <w:r w:rsidR="003E5887">
        <w:rPr>
          <w:rFonts w:ascii="Arial" w:hAnsi="Arial" w:cs="Arial"/>
          <w:sz w:val="24"/>
          <w:szCs w:val="24"/>
        </w:rPr>
        <w:t>in the primary sector next year.</w:t>
      </w:r>
    </w:p>
    <w:p w:rsidR="00A7025E" w:rsidP="008E654F" w:rsidRDefault="00A7025E">
      <w:pPr>
        <w:rPr>
          <w:rFonts w:ascii="Arial" w:hAnsi="Arial" w:cs="Arial"/>
          <w:sz w:val="24"/>
          <w:szCs w:val="24"/>
        </w:rPr>
      </w:pPr>
    </w:p>
    <w:p w:rsidR="00171BC6" w:rsidP="008E654F" w:rsidRDefault="00171BC6">
      <w:pPr>
        <w:rPr>
          <w:rFonts w:ascii="Arial" w:hAnsi="Arial" w:cs="Arial"/>
          <w:sz w:val="24"/>
          <w:szCs w:val="24"/>
        </w:rPr>
      </w:pPr>
      <w:r>
        <w:rPr>
          <w:rFonts w:ascii="Arial" w:hAnsi="Arial" w:cs="Arial"/>
          <w:sz w:val="24"/>
          <w:szCs w:val="24"/>
        </w:rPr>
        <w:t>The other variation from the full NFF is that the LA will apply minimum per pupil funding thresholds of £3,300 and £4,600 in primary and secondary schools for 2018-19 with a view to applying the higher thresholds (£3,500 and £4,800) for 2019-20.</w:t>
      </w:r>
    </w:p>
    <w:p w:rsidR="00171BC6" w:rsidP="008E654F" w:rsidRDefault="00171BC6">
      <w:pPr>
        <w:rPr>
          <w:rFonts w:ascii="Arial" w:hAnsi="Arial" w:cs="Arial"/>
          <w:sz w:val="24"/>
          <w:szCs w:val="24"/>
        </w:rPr>
      </w:pPr>
    </w:p>
    <w:p w:rsidR="00C0419C" w:rsidP="008E654F" w:rsidRDefault="00171BC6">
      <w:pPr>
        <w:rPr>
          <w:rFonts w:ascii="Arial" w:hAnsi="Arial" w:cs="Arial"/>
          <w:sz w:val="24"/>
          <w:szCs w:val="24"/>
        </w:rPr>
      </w:pPr>
      <w:r>
        <w:rPr>
          <w:rFonts w:ascii="Arial" w:hAnsi="Arial" w:cs="Arial"/>
          <w:sz w:val="24"/>
          <w:szCs w:val="24"/>
        </w:rPr>
        <w:t>In summary, the basis for determining schools’ indicative budgets based on the proposals in this consultation document is as follows:</w:t>
      </w:r>
    </w:p>
    <w:p w:rsidR="00C0419C" w:rsidP="008E654F" w:rsidRDefault="00C0419C">
      <w:pPr>
        <w:rPr>
          <w:rFonts w:ascii="Arial" w:hAnsi="Arial" w:cs="Arial"/>
          <w:sz w:val="24"/>
          <w:szCs w:val="24"/>
        </w:rPr>
      </w:pPr>
    </w:p>
    <w:p w:rsidR="00C0419C" w:rsidP="0061335B" w:rsidRDefault="000134F6">
      <w:pPr>
        <w:spacing w:after="120"/>
        <w:rPr>
          <w:rFonts w:ascii="Arial" w:hAnsi="Arial" w:cs="Arial"/>
          <w:sz w:val="24"/>
          <w:szCs w:val="24"/>
        </w:rPr>
      </w:pPr>
      <w:r>
        <w:rPr>
          <w:rFonts w:ascii="Arial" w:hAnsi="Arial" w:cs="Arial"/>
          <w:sz w:val="24"/>
          <w:szCs w:val="24"/>
        </w:rPr>
        <w:t xml:space="preserve">Step 1 - </w:t>
      </w:r>
      <w:r w:rsidR="00C0419C">
        <w:rPr>
          <w:rFonts w:ascii="Arial" w:hAnsi="Arial" w:cs="Arial"/>
          <w:sz w:val="24"/>
          <w:szCs w:val="24"/>
        </w:rPr>
        <w:t xml:space="preserve">Apply the NFF in full based on the multipliers in Table 1 (except for </w:t>
      </w:r>
      <w:r w:rsidR="000E2F11">
        <w:rPr>
          <w:rFonts w:ascii="Arial" w:hAnsi="Arial" w:cs="Arial"/>
          <w:sz w:val="24"/>
          <w:szCs w:val="24"/>
        </w:rPr>
        <w:t xml:space="preserve">the primary LPA quantum which is retained at 2017-18 levels and </w:t>
      </w:r>
      <w:r w:rsidR="00C0419C">
        <w:rPr>
          <w:rFonts w:ascii="Arial" w:hAnsi="Arial" w:cs="Arial"/>
          <w:sz w:val="24"/>
          <w:szCs w:val="24"/>
        </w:rPr>
        <w:t>the minimum overall funding per pupil thresholds</w:t>
      </w:r>
      <w:r w:rsidR="008B4E67">
        <w:rPr>
          <w:rFonts w:ascii="Arial" w:hAnsi="Arial" w:cs="Arial"/>
          <w:sz w:val="24"/>
          <w:szCs w:val="24"/>
        </w:rPr>
        <w:t xml:space="preserve"> (see Step 4)</w:t>
      </w:r>
      <w:r w:rsidR="00C0419C">
        <w:rPr>
          <w:rFonts w:ascii="Arial" w:hAnsi="Arial" w:cs="Arial"/>
          <w:sz w:val="24"/>
          <w:szCs w:val="24"/>
        </w:rPr>
        <w:t xml:space="preserve">) </w:t>
      </w:r>
    </w:p>
    <w:p w:rsidR="00BA0943" w:rsidP="0061335B" w:rsidRDefault="000134F6">
      <w:pPr>
        <w:spacing w:after="120"/>
        <w:rPr>
          <w:rFonts w:ascii="Arial" w:hAnsi="Arial" w:cs="Arial"/>
          <w:sz w:val="24"/>
          <w:szCs w:val="24"/>
        </w:rPr>
      </w:pPr>
      <w:r>
        <w:rPr>
          <w:rFonts w:ascii="Arial" w:hAnsi="Arial" w:cs="Arial"/>
          <w:sz w:val="24"/>
          <w:szCs w:val="24"/>
        </w:rPr>
        <w:t xml:space="preserve">Step </w:t>
      </w:r>
      <w:r w:rsidR="0061335B">
        <w:rPr>
          <w:rFonts w:ascii="Arial" w:hAnsi="Arial" w:cs="Arial"/>
          <w:sz w:val="24"/>
          <w:szCs w:val="24"/>
        </w:rPr>
        <w:t>2</w:t>
      </w:r>
      <w:r>
        <w:rPr>
          <w:rFonts w:ascii="Arial" w:hAnsi="Arial" w:cs="Arial"/>
          <w:sz w:val="24"/>
          <w:szCs w:val="24"/>
        </w:rPr>
        <w:t xml:space="preserve"> - </w:t>
      </w:r>
      <w:r w:rsidR="00C0419C">
        <w:rPr>
          <w:rFonts w:ascii="Arial" w:hAnsi="Arial" w:cs="Arial"/>
          <w:sz w:val="24"/>
          <w:szCs w:val="24"/>
        </w:rPr>
        <w:t>Apply a +0</w:t>
      </w:r>
      <w:r w:rsidR="00A7025E">
        <w:rPr>
          <w:rFonts w:ascii="Arial" w:hAnsi="Arial" w:cs="Arial"/>
          <w:sz w:val="24"/>
          <w:szCs w:val="24"/>
        </w:rPr>
        <w:t>.5</w:t>
      </w:r>
      <w:r w:rsidR="00C0419C">
        <w:rPr>
          <w:rFonts w:ascii="Arial" w:hAnsi="Arial" w:cs="Arial"/>
          <w:sz w:val="24"/>
          <w:szCs w:val="24"/>
        </w:rPr>
        <w:t>% per pupil MFG rate</w:t>
      </w:r>
    </w:p>
    <w:p w:rsidR="00C0419C" w:rsidP="0061335B" w:rsidRDefault="000134F6">
      <w:pPr>
        <w:spacing w:after="120"/>
        <w:rPr>
          <w:rFonts w:ascii="Arial" w:hAnsi="Arial" w:cs="Arial"/>
          <w:sz w:val="24"/>
          <w:szCs w:val="24"/>
        </w:rPr>
      </w:pPr>
      <w:r>
        <w:rPr>
          <w:rFonts w:ascii="Arial" w:hAnsi="Arial" w:cs="Arial"/>
          <w:sz w:val="24"/>
          <w:szCs w:val="24"/>
        </w:rPr>
        <w:t xml:space="preserve">Step </w:t>
      </w:r>
      <w:r w:rsidR="0061335B">
        <w:rPr>
          <w:rFonts w:ascii="Arial" w:hAnsi="Arial" w:cs="Arial"/>
          <w:sz w:val="24"/>
          <w:szCs w:val="24"/>
        </w:rPr>
        <w:t>3</w:t>
      </w:r>
      <w:r>
        <w:rPr>
          <w:rFonts w:ascii="Arial" w:hAnsi="Arial" w:cs="Arial"/>
          <w:sz w:val="24"/>
          <w:szCs w:val="24"/>
        </w:rPr>
        <w:t xml:space="preserve"> - Apply a cap on gains of 3.0% per pupil, in line with the NFF calculation</w:t>
      </w:r>
    </w:p>
    <w:p w:rsidR="00BA0943" w:rsidP="0061335B" w:rsidRDefault="000134F6">
      <w:pPr>
        <w:spacing w:after="120"/>
        <w:rPr>
          <w:rFonts w:ascii="Arial" w:hAnsi="Arial" w:cs="Arial"/>
          <w:sz w:val="24"/>
          <w:szCs w:val="24"/>
        </w:rPr>
      </w:pPr>
      <w:r>
        <w:rPr>
          <w:rFonts w:ascii="Arial" w:hAnsi="Arial" w:cs="Arial"/>
          <w:sz w:val="24"/>
          <w:szCs w:val="24"/>
        </w:rPr>
        <w:t xml:space="preserve">Step </w:t>
      </w:r>
      <w:r w:rsidR="0061335B">
        <w:rPr>
          <w:rFonts w:ascii="Arial" w:hAnsi="Arial" w:cs="Arial"/>
          <w:sz w:val="24"/>
          <w:szCs w:val="24"/>
        </w:rPr>
        <w:t>4</w:t>
      </w:r>
      <w:r>
        <w:rPr>
          <w:rFonts w:ascii="Arial" w:hAnsi="Arial" w:cs="Arial"/>
          <w:sz w:val="24"/>
          <w:szCs w:val="24"/>
        </w:rPr>
        <w:t xml:space="preserve"> </w:t>
      </w:r>
      <w:r w:rsidR="00D5409F">
        <w:rPr>
          <w:rFonts w:ascii="Arial" w:hAnsi="Arial" w:cs="Arial"/>
          <w:sz w:val="24"/>
          <w:szCs w:val="24"/>
        </w:rPr>
        <w:t>-</w:t>
      </w:r>
      <w:r>
        <w:rPr>
          <w:rFonts w:ascii="Arial" w:hAnsi="Arial" w:cs="Arial"/>
          <w:sz w:val="24"/>
          <w:szCs w:val="24"/>
        </w:rPr>
        <w:t xml:space="preserve"> </w:t>
      </w:r>
      <w:r w:rsidR="009045F4">
        <w:rPr>
          <w:rFonts w:ascii="Arial" w:hAnsi="Arial" w:cs="Arial"/>
          <w:sz w:val="24"/>
          <w:szCs w:val="24"/>
        </w:rPr>
        <w:t xml:space="preserve">Ensure </w:t>
      </w:r>
      <w:r w:rsidR="00A93D72">
        <w:rPr>
          <w:rFonts w:ascii="Arial" w:hAnsi="Arial" w:cs="Arial"/>
          <w:sz w:val="24"/>
          <w:szCs w:val="24"/>
        </w:rPr>
        <w:t xml:space="preserve">each </w:t>
      </w:r>
      <w:r w:rsidR="009045F4">
        <w:rPr>
          <w:rFonts w:ascii="Arial" w:hAnsi="Arial" w:cs="Arial"/>
          <w:sz w:val="24"/>
          <w:szCs w:val="24"/>
        </w:rPr>
        <w:t>school</w:t>
      </w:r>
      <w:r w:rsidR="00A93D72">
        <w:rPr>
          <w:rFonts w:ascii="Arial" w:hAnsi="Arial" w:cs="Arial"/>
          <w:sz w:val="24"/>
          <w:szCs w:val="24"/>
        </w:rPr>
        <w:t xml:space="preserve">’s </w:t>
      </w:r>
      <w:r w:rsidR="009045F4">
        <w:rPr>
          <w:rFonts w:ascii="Arial" w:hAnsi="Arial" w:cs="Arial"/>
          <w:sz w:val="24"/>
          <w:szCs w:val="24"/>
        </w:rPr>
        <w:t xml:space="preserve">budget (pupil and school led elements, as per the NFF calculation) meet the </w:t>
      </w:r>
      <w:r>
        <w:rPr>
          <w:rFonts w:ascii="Arial" w:hAnsi="Arial" w:cs="Arial"/>
          <w:sz w:val="24"/>
          <w:szCs w:val="24"/>
        </w:rPr>
        <w:t xml:space="preserve">minimum </w:t>
      </w:r>
      <w:r w:rsidR="00BA0943">
        <w:rPr>
          <w:rFonts w:ascii="Arial" w:hAnsi="Arial" w:cs="Arial"/>
          <w:sz w:val="24"/>
          <w:szCs w:val="24"/>
        </w:rPr>
        <w:t xml:space="preserve">overall per pupil funding rates </w:t>
      </w:r>
      <w:r>
        <w:rPr>
          <w:rFonts w:ascii="Arial" w:hAnsi="Arial" w:cs="Arial"/>
          <w:sz w:val="24"/>
          <w:szCs w:val="24"/>
        </w:rPr>
        <w:t>(£3,3</w:t>
      </w:r>
      <w:r w:rsidR="00200386">
        <w:rPr>
          <w:rFonts w:ascii="Arial" w:hAnsi="Arial" w:cs="Arial"/>
          <w:sz w:val="24"/>
          <w:szCs w:val="24"/>
        </w:rPr>
        <w:t>0</w:t>
      </w:r>
      <w:r>
        <w:rPr>
          <w:rFonts w:ascii="Arial" w:hAnsi="Arial" w:cs="Arial"/>
          <w:sz w:val="24"/>
          <w:szCs w:val="24"/>
        </w:rPr>
        <w:t>0/£4,</w:t>
      </w:r>
      <w:r w:rsidR="00171BC6">
        <w:rPr>
          <w:rFonts w:ascii="Arial" w:hAnsi="Arial" w:cs="Arial"/>
          <w:sz w:val="24"/>
          <w:szCs w:val="24"/>
        </w:rPr>
        <w:t>6</w:t>
      </w:r>
      <w:r w:rsidR="00200386">
        <w:rPr>
          <w:rFonts w:ascii="Arial" w:hAnsi="Arial" w:cs="Arial"/>
          <w:sz w:val="24"/>
          <w:szCs w:val="24"/>
        </w:rPr>
        <w:t>00</w:t>
      </w:r>
      <w:r>
        <w:rPr>
          <w:rFonts w:ascii="Arial" w:hAnsi="Arial" w:cs="Arial"/>
          <w:sz w:val="24"/>
          <w:szCs w:val="24"/>
        </w:rPr>
        <w:t>)</w:t>
      </w:r>
    </w:p>
    <w:p w:rsidR="00BA0943" w:rsidP="0061335B" w:rsidRDefault="000134F6">
      <w:pPr>
        <w:spacing w:after="120"/>
        <w:rPr>
          <w:rFonts w:ascii="Arial" w:hAnsi="Arial" w:cs="Arial"/>
          <w:sz w:val="24"/>
          <w:szCs w:val="24"/>
        </w:rPr>
      </w:pPr>
      <w:r>
        <w:rPr>
          <w:rFonts w:ascii="Arial" w:hAnsi="Arial" w:cs="Arial"/>
          <w:sz w:val="24"/>
          <w:szCs w:val="24"/>
        </w:rPr>
        <w:t xml:space="preserve">Step </w:t>
      </w:r>
      <w:r w:rsidR="0061335B">
        <w:rPr>
          <w:rFonts w:ascii="Arial" w:hAnsi="Arial" w:cs="Arial"/>
          <w:sz w:val="24"/>
          <w:szCs w:val="24"/>
        </w:rPr>
        <w:t>5</w:t>
      </w:r>
      <w:r>
        <w:rPr>
          <w:rFonts w:ascii="Arial" w:hAnsi="Arial" w:cs="Arial"/>
          <w:sz w:val="24"/>
          <w:szCs w:val="24"/>
        </w:rPr>
        <w:t xml:space="preserve"> </w:t>
      </w:r>
      <w:r w:rsidR="00D5409F">
        <w:rPr>
          <w:rFonts w:ascii="Arial" w:hAnsi="Arial" w:cs="Arial"/>
          <w:sz w:val="24"/>
          <w:szCs w:val="24"/>
        </w:rPr>
        <w:t>-</w:t>
      </w:r>
      <w:r>
        <w:rPr>
          <w:rFonts w:ascii="Arial" w:hAnsi="Arial" w:cs="Arial"/>
          <w:sz w:val="24"/>
          <w:szCs w:val="24"/>
        </w:rPr>
        <w:t xml:space="preserve"> </w:t>
      </w:r>
      <w:r w:rsidR="000E2F11">
        <w:rPr>
          <w:rFonts w:ascii="Arial" w:hAnsi="Arial" w:cs="Arial"/>
          <w:sz w:val="24"/>
          <w:szCs w:val="24"/>
        </w:rPr>
        <w:t xml:space="preserve">Increase </w:t>
      </w:r>
      <w:r w:rsidR="00200386">
        <w:rPr>
          <w:rFonts w:ascii="Arial" w:hAnsi="Arial" w:cs="Arial"/>
          <w:sz w:val="24"/>
          <w:szCs w:val="24"/>
        </w:rPr>
        <w:t xml:space="preserve">primary sector </w:t>
      </w:r>
      <w:r w:rsidR="000E2F11">
        <w:rPr>
          <w:rFonts w:ascii="Arial" w:hAnsi="Arial" w:cs="Arial"/>
          <w:sz w:val="24"/>
          <w:szCs w:val="24"/>
        </w:rPr>
        <w:t>LPA to utilise any residual funding</w:t>
      </w:r>
    </w:p>
    <w:p w:rsidR="000E2F11" w:rsidP="00E46198" w:rsidRDefault="000134F6">
      <w:pPr>
        <w:rPr>
          <w:rFonts w:ascii="Arial" w:hAnsi="Arial" w:cs="Arial"/>
          <w:sz w:val="24"/>
          <w:szCs w:val="24"/>
        </w:rPr>
      </w:pPr>
      <w:r>
        <w:rPr>
          <w:rFonts w:ascii="Arial" w:hAnsi="Arial" w:cs="Arial"/>
          <w:sz w:val="24"/>
          <w:szCs w:val="24"/>
        </w:rPr>
        <w:t xml:space="preserve">Step </w:t>
      </w:r>
      <w:r w:rsidR="0061335B">
        <w:rPr>
          <w:rFonts w:ascii="Arial" w:hAnsi="Arial" w:cs="Arial"/>
          <w:sz w:val="24"/>
          <w:szCs w:val="24"/>
        </w:rPr>
        <w:t>6</w:t>
      </w:r>
      <w:r>
        <w:rPr>
          <w:rFonts w:ascii="Arial" w:hAnsi="Arial" w:cs="Arial"/>
          <w:sz w:val="24"/>
          <w:szCs w:val="24"/>
        </w:rPr>
        <w:t xml:space="preserve"> </w:t>
      </w:r>
      <w:r w:rsidR="00D5409F">
        <w:rPr>
          <w:rFonts w:ascii="Arial" w:hAnsi="Arial" w:cs="Arial"/>
          <w:sz w:val="24"/>
          <w:szCs w:val="24"/>
        </w:rPr>
        <w:t>-</w:t>
      </w:r>
      <w:r>
        <w:rPr>
          <w:rFonts w:ascii="Arial" w:hAnsi="Arial" w:cs="Arial"/>
          <w:sz w:val="24"/>
          <w:szCs w:val="24"/>
        </w:rPr>
        <w:t xml:space="preserve"> Re</w:t>
      </w:r>
      <w:r w:rsidR="000E2F11">
        <w:rPr>
          <w:rFonts w:ascii="Arial" w:hAnsi="Arial" w:cs="Arial"/>
          <w:sz w:val="24"/>
          <w:szCs w:val="24"/>
        </w:rPr>
        <w:t>calculate MFG, capping and minimum thresholds as required</w:t>
      </w:r>
    </w:p>
    <w:p w:rsidR="003759D7" w:rsidP="008E654F" w:rsidRDefault="003759D7">
      <w:pPr>
        <w:rPr>
          <w:rFonts w:ascii="Arial" w:hAnsi="Arial" w:cs="Arial"/>
          <w:b/>
          <w:sz w:val="24"/>
          <w:szCs w:val="24"/>
        </w:rPr>
      </w:pPr>
    </w:p>
    <w:p w:rsidRPr="008B4E67" w:rsidR="00BA0943" w:rsidP="008E654F" w:rsidRDefault="000134F6">
      <w:pPr>
        <w:rPr>
          <w:rFonts w:ascii="Arial" w:hAnsi="Arial" w:cs="Arial"/>
          <w:b/>
          <w:sz w:val="24"/>
          <w:szCs w:val="24"/>
          <w:u w:val="single"/>
        </w:rPr>
      </w:pPr>
      <w:r w:rsidRPr="000134F6">
        <w:rPr>
          <w:rFonts w:ascii="Arial" w:hAnsi="Arial" w:cs="Arial"/>
          <w:b/>
          <w:sz w:val="24"/>
          <w:szCs w:val="24"/>
        </w:rPr>
        <w:t>2.</w:t>
      </w:r>
      <w:r w:rsidR="00A93D72">
        <w:rPr>
          <w:rFonts w:ascii="Arial" w:hAnsi="Arial" w:cs="Arial"/>
          <w:b/>
          <w:sz w:val="24"/>
          <w:szCs w:val="24"/>
        </w:rPr>
        <w:t>5</w:t>
      </w:r>
      <w:r w:rsidRPr="000134F6">
        <w:rPr>
          <w:rFonts w:ascii="Arial" w:hAnsi="Arial" w:cs="Arial"/>
          <w:b/>
          <w:sz w:val="24"/>
          <w:szCs w:val="24"/>
        </w:rPr>
        <w:tab/>
      </w:r>
      <w:r w:rsidRPr="008B4E67" w:rsidR="008B4E67">
        <w:rPr>
          <w:rFonts w:ascii="Arial" w:hAnsi="Arial" w:cs="Arial"/>
          <w:b/>
          <w:sz w:val="24"/>
          <w:szCs w:val="24"/>
          <w:u w:val="single"/>
        </w:rPr>
        <w:t>Overall o</w:t>
      </w:r>
      <w:r w:rsidRPr="008B4E67" w:rsidR="0061335B">
        <w:rPr>
          <w:rFonts w:ascii="Arial" w:hAnsi="Arial" w:cs="Arial"/>
          <w:b/>
          <w:sz w:val="24"/>
          <w:szCs w:val="24"/>
          <w:u w:val="single"/>
        </w:rPr>
        <w:t>utcome of the modelling</w:t>
      </w:r>
    </w:p>
    <w:p w:rsidR="000134F6" w:rsidP="008E654F" w:rsidRDefault="000134F6">
      <w:pPr>
        <w:rPr>
          <w:rFonts w:ascii="Arial" w:hAnsi="Arial" w:cs="Arial"/>
          <w:sz w:val="24"/>
          <w:szCs w:val="24"/>
        </w:rPr>
      </w:pPr>
    </w:p>
    <w:p w:rsidR="00102E71" w:rsidP="008E654F" w:rsidRDefault="0061335B">
      <w:pPr>
        <w:rPr>
          <w:rFonts w:ascii="Arial" w:hAnsi="Arial" w:cs="Arial"/>
          <w:sz w:val="24"/>
          <w:szCs w:val="24"/>
        </w:rPr>
      </w:pPr>
      <w:r>
        <w:rPr>
          <w:rFonts w:ascii="Arial" w:hAnsi="Arial" w:cs="Arial"/>
          <w:sz w:val="24"/>
          <w:szCs w:val="24"/>
        </w:rPr>
        <w:t>The multipliers which result from the process set out in 2.</w:t>
      </w:r>
      <w:r w:rsidR="008B4E67">
        <w:rPr>
          <w:rFonts w:ascii="Arial" w:hAnsi="Arial" w:cs="Arial"/>
          <w:sz w:val="24"/>
          <w:szCs w:val="24"/>
        </w:rPr>
        <w:t>4</w:t>
      </w:r>
      <w:r>
        <w:rPr>
          <w:rFonts w:ascii="Arial" w:hAnsi="Arial" w:cs="Arial"/>
          <w:sz w:val="24"/>
          <w:szCs w:val="24"/>
        </w:rPr>
        <w:t xml:space="preserve"> are shown in </w:t>
      </w:r>
      <w:r w:rsidR="00CB683F">
        <w:rPr>
          <w:rFonts w:ascii="Arial" w:hAnsi="Arial" w:cs="Arial"/>
          <w:sz w:val="24"/>
          <w:szCs w:val="24"/>
        </w:rPr>
        <w:t>Appendix 1</w:t>
      </w:r>
      <w:r>
        <w:rPr>
          <w:rFonts w:ascii="Arial" w:hAnsi="Arial" w:cs="Arial"/>
          <w:sz w:val="24"/>
          <w:szCs w:val="24"/>
        </w:rPr>
        <w:t>.</w:t>
      </w:r>
      <w:r w:rsidR="00433899">
        <w:rPr>
          <w:rFonts w:ascii="Arial" w:hAnsi="Arial" w:cs="Arial"/>
          <w:sz w:val="24"/>
          <w:szCs w:val="24"/>
        </w:rPr>
        <w:t xml:space="preserve"> With the exception of the primary LPA</w:t>
      </w:r>
      <w:r w:rsidR="00936E48">
        <w:rPr>
          <w:rFonts w:ascii="Arial" w:hAnsi="Arial" w:cs="Arial"/>
          <w:sz w:val="24"/>
          <w:szCs w:val="24"/>
        </w:rPr>
        <w:t xml:space="preserve"> and the minimum thresholds</w:t>
      </w:r>
      <w:r w:rsidR="00433899">
        <w:rPr>
          <w:rFonts w:ascii="Arial" w:hAnsi="Arial" w:cs="Arial"/>
          <w:sz w:val="24"/>
          <w:szCs w:val="24"/>
        </w:rPr>
        <w:t xml:space="preserve">, all of the proposed multipliers are </w:t>
      </w:r>
      <w:r w:rsidR="008A25A1">
        <w:rPr>
          <w:rFonts w:ascii="Arial" w:hAnsi="Arial" w:cs="Arial"/>
          <w:sz w:val="24"/>
          <w:szCs w:val="24"/>
        </w:rPr>
        <w:t xml:space="preserve">consistent with </w:t>
      </w:r>
      <w:r w:rsidR="00433899">
        <w:rPr>
          <w:rFonts w:ascii="Arial" w:hAnsi="Arial" w:cs="Arial"/>
          <w:sz w:val="24"/>
          <w:szCs w:val="24"/>
        </w:rPr>
        <w:t xml:space="preserve">the </w:t>
      </w:r>
      <w:r w:rsidR="00B267CB">
        <w:rPr>
          <w:rFonts w:ascii="Arial" w:hAnsi="Arial" w:cs="Arial"/>
          <w:sz w:val="24"/>
          <w:szCs w:val="24"/>
        </w:rPr>
        <w:t xml:space="preserve">full </w:t>
      </w:r>
      <w:r w:rsidR="00433899">
        <w:rPr>
          <w:rFonts w:ascii="Arial" w:hAnsi="Arial" w:cs="Arial"/>
          <w:sz w:val="24"/>
          <w:szCs w:val="24"/>
        </w:rPr>
        <w:t>NFF.</w:t>
      </w:r>
      <w:r w:rsidR="00CB683F">
        <w:rPr>
          <w:rFonts w:ascii="Arial" w:hAnsi="Arial" w:cs="Arial"/>
          <w:sz w:val="24"/>
          <w:szCs w:val="24"/>
        </w:rPr>
        <w:t xml:space="preserve"> The total funding allocated by each NFF indicator </w:t>
      </w:r>
      <w:r w:rsidR="00B267CB">
        <w:rPr>
          <w:rFonts w:ascii="Arial" w:hAnsi="Arial" w:cs="Arial"/>
          <w:sz w:val="24"/>
          <w:szCs w:val="24"/>
        </w:rPr>
        <w:t xml:space="preserve">is </w:t>
      </w:r>
      <w:r w:rsidR="0043467F">
        <w:rPr>
          <w:rFonts w:ascii="Arial" w:hAnsi="Arial" w:cs="Arial"/>
          <w:sz w:val="24"/>
          <w:szCs w:val="24"/>
        </w:rPr>
        <w:t xml:space="preserve">also </w:t>
      </w:r>
      <w:r w:rsidR="00CB683F">
        <w:rPr>
          <w:rFonts w:ascii="Arial" w:hAnsi="Arial" w:cs="Arial"/>
          <w:sz w:val="24"/>
          <w:szCs w:val="24"/>
        </w:rPr>
        <w:t xml:space="preserve">provided in </w:t>
      </w:r>
      <w:r w:rsidRPr="0087669E" w:rsidR="00CB683F">
        <w:rPr>
          <w:rFonts w:ascii="Arial" w:hAnsi="Arial" w:cs="Arial"/>
          <w:sz w:val="24"/>
          <w:szCs w:val="24"/>
        </w:rPr>
        <w:t xml:space="preserve">Appendix </w:t>
      </w:r>
      <w:r w:rsidR="0043467F">
        <w:rPr>
          <w:rFonts w:ascii="Arial" w:hAnsi="Arial" w:cs="Arial"/>
          <w:sz w:val="24"/>
          <w:szCs w:val="24"/>
        </w:rPr>
        <w:t>1</w:t>
      </w:r>
      <w:r w:rsidRPr="0087669E" w:rsidR="00CB683F">
        <w:rPr>
          <w:rFonts w:ascii="Arial" w:hAnsi="Arial" w:cs="Arial"/>
          <w:sz w:val="24"/>
          <w:szCs w:val="24"/>
        </w:rPr>
        <w:t>.</w:t>
      </w:r>
      <w:r w:rsidRPr="0087669E" w:rsidR="001361FB">
        <w:rPr>
          <w:rFonts w:ascii="Arial" w:hAnsi="Arial" w:cs="Arial"/>
          <w:sz w:val="24"/>
          <w:szCs w:val="24"/>
        </w:rPr>
        <w:t xml:space="preserve"> The LPA multiplier is effectively the balancing figure </w:t>
      </w:r>
      <w:r w:rsidRPr="0087669E" w:rsidR="003759D7">
        <w:rPr>
          <w:rFonts w:ascii="Arial" w:hAnsi="Arial" w:cs="Arial"/>
          <w:sz w:val="24"/>
          <w:szCs w:val="24"/>
        </w:rPr>
        <w:t xml:space="preserve">for the primary sector and </w:t>
      </w:r>
      <w:r w:rsidRPr="0087669E" w:rsidR="001361FB">
        <w:rPr>
          <w:rFonts w:ascii="Arial" w:hAnsi="Arial" w:cs="Arial"/>
          <w:sz w:val="24"/>
          <w:szCs w:val="24"/>
        </w:rPr>
        <w:t>ensure</w:t>
      </w:r>
      <w:r w:rsidRPr="0087669E" w:rsidR="00436371">
        <w:rPr>
          <w:rFonts w:ascii="Arial" w:hAnsi="Arial" w:cs="Arial"/>
          <w:sz w:val="24"/>
          <w:szCs w:val="24"/>
        </w:rPr>
        <w:t>s</w:t>
      </w:r>
      <w:r w:rsidRPr="0087669E" w:rsidR="001361FB">
        <w:rPr>
          <w:rFonts w:ascii="Arial" w:hAnsi="Arial" w:cs="Arial"/>
          <w:sz w:val="24"/>
          <w:szCs w:val="24"/>
        </w:rPr>
        <w:t xml:space="preserve"> the cost of the model is in line with the funding envelope.</w:t>
      </w:r>
      <w:r w:rsidRPr="0087669E" w:rsidR="003759D7">
        <w:rPr>
          <w:rFonts w:ascii="Arial" w:hAnsi="Arial" w:cs="Arial"/>
          <w:sz w:val="24"/>
          <w:szCs w:val="24"/>
        </w:rPr>
        <w:t xml:space="preserve"> </w:t>
      </w:r>
      <w:r w:rsidRPr="0087669E" w:rsidR="00102E71">
        <w:rPr>
          <w:rFonts w:ascii="Arial" w:hAnsi="Arial" w:cs="Arial"/>
          <w:sz w:val="24"/>
          <w:szCs w:val="24"/>
        </w:rPr>
        <w:t xml:space="preserve">The primary LPA funding </w:t>
      </w:r>
      <w:r w:rsidRPr="0087669E" w:rsidR="0087669E">
        <w:rPr>
          <w:rFonts w:ascii="Arial" w:hAnsi="Arial" w:cs="Arial"/>
          <w:sz w:val="24"/>
          <w:szCs w:val="24"/>
        </w:rPr>
        <w:t xml:space="preserve">allocated in the model is </w:t>
      </w:r>
      <w:r w:rsidRPr="0087669E" w:rsidR="00102E71">
        <w:rPr>
          <w:rFonts w:ascii="Arial" w:hAnsi="Arial" w:cs="Arial"/>
          <w:sz w:val="24"/>
          <w:szCs w:val="24"/>
        </w:rPr>
        <w:t>£</w:t>
      </w:r>
      <w:r w:rsidRPr="0087669E" w:rsidR="0087669E">
        <w:rPr>
          <w:rFonts w:ascii="Arial" w:hAnsi="Arial" w:cs="Arial"/>
          <w:sz w:val="24"/>
          <w:szCs w:val="24"/>
        </w:rPr>
        <w:t>9.659</w:t>
      </w:r>
      <w:r w:rsidRPr="0087669E" w:rsidR="00102E71">
        <w:rPr>
          <w:rFonts w:ascii="Arial" w:hAnsi="Arial" w:cs="Arial"/>
          <w:sz w:val="24"/>
          <w:szCs w:val="24"/>
        </w:rPr>
        <w:t xml:space="preserve">m which </w:t>
      </w:r>
      <w:r w:rsidRPr="0087669E" w:rsidR="0087669E">
        <w:rPr>
          <w:rFonts w:ascii="Arial" w:hAnsi="Arial" w:cs="Arial"/>
          <w:sz w:val="24"/>
          <w:szCs w:val="24"/>
        </w:rPr>
        <w:t xml:space="preserve">is substantially higher than the </w:t>
      </w:r>
      <w:r w:rsidRPr="0087669E" w:rsidR="00102E71">
        <w:rPr>
          <w:rFonts w:ascii="Arial" w:hAnsi="Arial" w:cs="Arial"/>
          <w:sz w:val="24"/>
          <w:szCs w:val="24"/>
        </w:rPr>
        <w:t>£1.0</w:t>
      </w:r>
      <w:r w:rsidRPr="0087669E" w:rsidR="008A25A1">
        <w:rPr>
          <w:rFonts w:ascii="Arial" w:hAnsi="Arial" w:cs="Arial"/>
          <w:sz w:val="24"/>
          <w:szCs w:val="24"/>
        </w:rPr>
        <w:t>51</w:t>
      </w:r>
      <w:r w:rsidRPr="0087669E" w:rsidR="00102E71">
        <w:rPr>
          <w:rFonts w:ascii="Arial" w:hAnsi="Arial" w:cs="Arial"/>
          <w:sz w:val="24"/>
          <w:szCs w:val="24"/>
        </w:rPr>
        <w:t>m actually allocated this year.</w:t>
      </w:r>
    </w:p>
    <w:p w:rsidR="00102E71" w:rsidP="008E654F" w:rsidRDefault="00102E71">
      <w:pPr>
        <w:rPr>
          <w:rFonts w:ascii="Arial" w:hAnsi="Arial" w:cs="Arial"/>
          <w:sz w:val="24"/>
          <w:szCs w:val="24"/>
        </w:rPr>
      </w:pPr>
    </w:p>
    <w:p w:rsidR="00446D64" w:rsidP="008E654F" w:rsidRDefault="0087669E">
      <w:pPr>
        <w:rPr>
          <w:rFonts w:ascii="Arial" w:hAnsi="Arial" w:cs="Arial"/>
          <w:sz w:val="24"/>
          <w:szCs w:val="24"/>
        </w:rPr>
      </w:pPr>
      <w:r>
        <w:rPr>
          <w:rFonts w:ascii="Arial" w:hAnsi="Arial" w:cs="Arial"/>
          <w:sz w:val="24"/>
          <w:szCs w:val="24"/>
        </w:rPr>
        <w:t xml:space="preserve">N.B. </w:t>
      </w:r>
      <w:r w:rsidR="003759D7">
        <w:rPr>
          <w:rFonts w:ascii="Arial" w:hAnsi="Arial" w:cs="Arial"/>
          <w:sz w:val="24"/>
          <w:szCs w:val="24"/>
        </w:rPr>
        <w:t xml:space="preserve">The </w:t>
      </w:r>
      <w:r w:rsidR="007D774A">
        <w:rPr>
          <w:rFonts w:ascii="Arial" w:hAnsi="Arial" w:cs="Arial"/>
          <w:sz w:val="24"/>
          <w:szCs w:val="24"/>
        </w:rPr>
        <w:t xml:space="preserve">modest </w:t>
      </w:r>
      <w:r w:rsidR="003759D7">
        <w:rPr>
          <w:rFonts w:ascii="Arial" w:hAnsi="Arial" w:cs="Arial"/>
          <w:sz w:val="24"/>
          <w:szCs w:val="24"/>
        </w:rPr>
        <w:t>residual unallocated funding will be the first contribution to any unfunded pressures e.g. inflation on schools’ rates bills.</w:t>
      </w:r>
    </w:p>
    <w:p w:rsidRPr="00E46198" w:rsidR="00446D64" w:rsidP="008E654F" w:rsidRDefault="00446D64">
      <w:pPr>
        <w:rPr>
          <w:rFonts w:ascii="Arial" w:hAnsi="Arial" w:cs="Arial"/>
          <w:sz w:val="20"/>
          <w:szCs w:val="24"/>
        </w:rPr>
      </w:pPr>
    </w:p>
    <w:p w:rsidRPr="00B16390" w:rsidR="004321B4" w:rsidP="008E654F" w:rsidRDefault="004321B4">
      <w:pPr>
        <w:rPr>
          <w:rFonts w:ascii="Arial" w:hAnsi="Arial" w:cs="Arial"/>
          <w:b/>
          <w:sz w:val="24"/>
          <w:szCs w:val="24"/>
        </w:rPr>
      </w:pPr>
      <w:r w:rsidRPr="00B16390">
        <w:rPr>
          <w:rFonts w:ascii="Arial" w:hAnsi="Arial" w:cs="Arial"/>
          <w:b/>
          <w:sz w:val="24"/>
          <w:szCs w:val="24"/>
        </w:rPr>
        <w:t>2.</w:t>
      </w:r>
      <w:r w:rsidR="00036288">
        <w:rPr>
          <w:rFonts w:ascii="Arial" w:hAnsi="Arial" w:cs="Arial"/>
          <w:b/>
          <w:sz w:val="24"/>
          <w:szCs w:val="24"/>
        </w:rPr>
        <w:t>6</w:t>
      </w:r>
      <w:r w:rsidRPr="00B16390">
        <w:rPr>
          <w:rFonts w:ascii="Arial" w:hAnsi="Arial" w:cs="Arial"/>
          <w:b/>
          <w:sz w:val="24"/>
          <w:szCs w:val="24"/>
        </w:rPr>
        <w:tab/>
      </w:r>
      <w:r w:rsidRPr="00036288" w:rsidR="00036288">
        <w:rPr>
          <w:rFonts w:ascii="Arial" w:hAnsi="Arial" w:cs="Arial"/>
          <w:b/>
          <w:sz w:val="24"/>
          <w:szCs w:val="24"/>
          <w:u w:val="single"/>
        </w:rPr>
        <w:t>Impact o</w:t>
      </w:r>
      <w:r w:rsidR="00213571">
        <w:rPr>
          <w:rFonts w:ascii="Arial" w:hAnsi="Arial" w:cs="Arial"/>
          <w:b/>
          <w:sz w:val="24"/>
          <w:szCs w:val="24"/>
          <w:u w:val="single"/>
        </w:rPr>
        <w:t>n</w:t>
      </w:r>
      <w:r w:rsidRPr="00036288" w:rsidR="00036288">
        <w:rPr>
          <w:rFonts w:ascii="Arial" w:hAnsi="Arial" w:cs="Arial"/>
          <w:b/>
          <w:sz w:val="24"/>
          <w:szCs w:val="24"/>
          <w:u w:val="single"/>
        </w:rPr>
        <w:t xml:space="preserve"> </w:t>
      </w:r>
      <w:r w:rsidRPr="00036288">
        <w:rPr>
          <w:rFonts w:ascii="Arial" w:hAnsi="Arial" w:cs="Arial"/>
          <w:b/>
          <w:sz w:val="24"/>
          <w:szCs w:val="24"/>
          <w:u w:val="single"/>
        </w:rPr>
        <w:t>Individual School</w:t>
      </w:r>
      <w:r w:rsidRPr="00036288" w:rsidR="00036288">
        <w:rPr>
          <w:rFonts w:ascii="Arial" w:hAnsi="Arial" w:cs="Arial"/>
          <w:b/>
          <w:sz w:val="24"/>
          <w:szCs w:val="24"/>
          <w:u w:val="single"/>
        </w:rPr>
        <w:t>s</w:t>
      </w:r>
    </w:p>
    <w:p w:rsidRPr="00E46198" w:rsidR="008B0EEA" w:rsidP="008E654F" w:rsidRDefault="008B0EEA">
      <w:pPr>
        <w:rPr>
          <w:rFonts w:ascii="Arial" w:hAnsi="Arial" w:cs="Arial"/>
          <w:sz w:val="20"/>
          <w:szCs w:val="24"/>
        </w:rPr>
      </w:pPr>
    </w:p>
    <w:p w:rsidR="00B16390" w:rsidP="008E654F" w:rsidRDefault="006C2A57">
      <w:pPr>
        <w:rPr>
          <w:rFonts w:ascii="Arial" w:hAnsi="Arial" w:cs="Arial"/>
          <w:sz w:val="24"/>
          <w:szCs w:val="24"/>
        </w:rPr>
      </w:pPr>
      <w:r>
        <w:rPr>
          <w:rFonts w:ascii="Arial" w:hAnsi="Arial" w:cs="Arial"/>
          <w:sz w:val="24"/>
          <w:szCs w:val="24"/>
        </w:rPr>
        <w:t xml:space="preserve">Separate </w:t>
      </w:r>
      <w:r w:rsidR="004321B4">
        <w:rPr>
          <w:rFonts w:ascii="Arial" w:hAnsi="Arial" w:cs="Arial"/>
          <w:sz w:val="24"/>
          <w:szCs w:val="24"/>
        </w:rPr>
        <w:t>schedule</w:t>
      </w:r>
      <w:r>
        <w:rPr>
          <w:rFonts w:ascii="Arial" w:hAnsi="Arial" w:cs="Arial"/>
          <w:sz w:val="24"/>
          <w:szCs w:val="24"/>
        </w:rPr>
        <w:t xml:space="preserve">s have </w:t>
      </w:r>
      <w:r w:rsidR="004321B4">
        <w:rPr>
          <w:rFonts w:ascii="Arial" w:hAnsi="Arial" w:cs="Arial"/>
          <w:sz w:val="24"/>
          <w:szCs w:val="24"/>
        </w:rPr>
        <w:t xml:space="preserve">been produced showing the impact the proposed formula would have had on individual schools </w:t>
      </w:r>
      <w:r w:rsidRPr="00782129" w:rsidR="004321B4">
        <w:rPr>
          <w:rFonts w:ascii="Arial" w:hAnsi="Arial" w:cs="Arial"/>
          <w:b/>
          <w:sz w:val="24"/>
          <w:szCs w:val="24"/>
          <w:u w:val="single"/>
        </w:rPr>
        <w:t>if it had been used in 2017-18</w:t>
      </w:r>
      <w:r w:rsidR="004321B4">
        <w:rPr>
          <w:rFonts w:ascii="Arial" w:hAnsi="Arial" w:cs="Arial"/>
          <w:sz w:val="24"/>
          <w:szCs w:val="24"/>
        </w:rPr>
        <w:t xml:space="preserve">. </w:t>
      </w:r>
      <w:r>
        <w:rPr>
          <w:rFonts w:ascii="Arial" w:hAnsi="Arial" w:cs="Arial"/>
          <w:sz w:val="24"/>
          <w:szCs w:val="24"/>
        </w:rPr>
        <w:t xml:space="preserve">Schedule 1 provides a restated 2017-18 </w:t>
      </w:r>
      <w:r w:rsidR="004321B4">
        <w:rPr>
          <w:rFonts w:ascii="Arial" w:hAnsi="Arial" w:cs="Arial"/>
          <w:sz w:val="24"/>
          <w:szCs w:val="24"/>
        </w:rPr>
        <w:t>baseline budget</w:t>
      </w:r>
      <w:r w:rsidR="00720F4C">
        <w:rPr>
          <w:rFonts w:ascii="Arial" w:hAnsi="Arial" w:cs="Arial"/>
          <w:sz w:val="24"/>
          <w:szCs w:val="24"/>
        </w:rPr>
        <w:t xml:space="preserve"> </w:t>
      </w:r>
      <w:r>
        <w:rPr>
          <w:rFonts w:ascii="Arial" w:hAnsi="Arial" w:cs="Arial"/>
          <w:sz w:val="24"/>
          <w:szCs w:val="24"/>
        </w:rPr>
        <w:t xml:space="preserve">which </w:t>
      </w:r>
      <w:r w:rsidR="00720F4C">
        <w:rPr>
          <w:rFonts w:ascii="Arial" w:hAnsi="Arial" w:cs="Arial"/>
          <w:sz w:val="24"/>
          <w:szCs w:val="24"/>
        </w:rPr>
        <w:t xml:space="preserve">is the school’s actual budget for 2017-18 less the one off resources allocated </w:t>
      </w:r>
      <w:r w:rsidR="00B16390">
        <w:rPr>
          <w:rFonts w:ascii="Arial" w:hAnsi="Arial" w:cs="Arial"/>
          <w:sz w:val="24"/>
          <w:szCs w:val="24"/>
        </w:rPr>
        <w:t>from DSG cash reserves, namely:</w:t>
      </w:r>
    </w:p>
    <w:p w:rsidR="00B16390" w:rsidP="008E654F" w:rsidRDefault="00B16390">
      <w:pPr>
        <w:rPr>
          <w:rFonts w:ascii="Arial" w:hAnsi="Arial" w:cs="Arial"/>
          <w:sz w:val="24"/>
          <w:szCs w:val="24"/>
        </w:rPr>
      </w:pPr>
    </w:p>
    <w:p w:rsidR="004321B4" w:rsidP="00B16390" w:rsidRDefault="00B16390">
      <w:pPr>
        <w:pStyle w:val="ListParagraph"/>
        <w:numPr>
          <w:ilvl w:val="0"/>
          <w:numId w:val="9"/>
        </w:numPr>
        <w:rPr>
          <w:rFonts w:ascii="Arial" w:hAnsi="Arial" w:cs="Arial"/>
          <w:sz w:val="24"/>
          <w:szCs w:val="24"/>
        </w:rPr>
      </w:pPr>
      <w:r w:rsidRPr="00B16390">
        <w:rPr>
          <w:rFonts w:ascii="Arial" w:hAnsi="Arial" w:cs="Arial"/>
          <w:sz w:val="24"/>
          <w:szCs w:val="24"/>
        </w:rPr>
        <w:t xml:space="preserve">Funding </w:t>
      </w:r>
      <w:r w:rsidRPr="00B16390" w:rsidR="00720F4C">
        <w:rPr>
          <w:rFonts w:ascii="Arial" w:hAnsi="Arial" w:cs="Arial"/>
          <w:sz w:val="24"/>
          <w:szCs w:val="24"/>
        </w:rPr>
        <w:t xml:space="preserve">to support </w:t>
      </w:r>
      <w:r w:rsidRPr="00B16390">
        <w:rPr>
          <w:rFonts w:ascii="Arial" w:hAnsi="Arial" w:cs="Arial"/>
          <w:sz w:val="24"/>
          <w:szCs w:val="24"/>
        </w:rPr>
        <w:t xml:space="preserve">the re-pooling of funding in respect of </w:t>
      </w:r>
      <w:r w:rsidRPr="00B16390" w:rsidR="00720F4C">
        <w:rPr>
          <w:rFonts w:ascii="Arial" w:hAnsi="Arial" w:cs="Arial"/>
          <w:sz w:val="24"/>
          <w:szCs w:val="24"/>
        </w:rPr>
        <w:t>school improvement</w:t>
      </w:r>
      <w:r w:rsidRPr="00B16390">
        <w:rPr>
          <w:rFonts w:ascii="Arial" w:hAnsi="Arial" w:cs="Arial"/>
          <w:sz w:val="24"/>
          <w:szCs w:val="24"/>
        </w:rPr>
        <w:t xml:space="preserve"> and schools’ </w:t>
      </w:r>
      <w:r w:rsidRPr="00B16390" w:rsidR="00720F4C">
        <w:rPr>
          <w:rFonts w:ascii="Arial" w:hAnsi="Arial" w:cs="Arial"/>
          <w:sz w:val="24"/>
          <w:szCs w:val="24"/>
        </w:rPr>
        <w:t>redundancy costs</w:t>
      </w:r>
      <w:r>
        <w:rPr>
          <w:rFonts w:ascii="Arial" w:hAnsi="Arial" w:cs="Arial"/>
          <w:sz w:val="24"/>
          <w:szCs w:val="24"/>
        </w:rPr>
        <w:t>;</w:t>
      </w:r>
      <w:r w:rsidRPr="00B16390" w:rsidR="00720F4C">
        <w:rPr>
          <w:rFonts w:ascii="Arial" w:hAnsi="Arial" w:cs="Arial"/>
          <w:sz w:val="24"/>
          <w:szCs w:val="24"/>
        </w:rPr>
        <w:t xml:space="preserve"> and </w:t>
      </w:r>
    </w:p>
    <w:p w:rsidRPr="00B16390" w:rsidR="00B16390" w:rsidP="00B16390" w:rsidRDefault="00B16390">
      <w:pPr>
        <w:pStyle w:val="ListParagraph"/>
        <w:numPr>
          <w:ilvl w:val="0"/>
          <w:numId w:val="9"/>
        </w:numPr>
        <w:rPr>
          <w:rFonts w:ascii="Arial" w:hAnsi="Arial" w:cs="Arial"/>
          <w:sz w:val="24"/>
          <w:szCs w:val="24"/>
        </w:rPr>
      </w:pPr>
      <w:r>
        <w:rPr>
          <w:rFonts w:ascii="Arial" w:hAnsi="Arial" w:cs="Arial"/>
          <w:sz w:val="24"/>
          <w:szCs w:val="24"/>
        </w:rPr>
        <w:t xml:space="preserve">The additional investment in secondary schools, net of any resultant increase in MFG protection. </w:t>
      </w:r>
    </w:p>
    <w:p w:rsidRPr="00E46198" w:rsidR="00E46198" w:rsidP="008E654F" w:rsidRDefault="00E46198">
      <w:pPr>
        <w:rPr>
          <w:rFonts w:ascii="Arial" w:hAnsi="Arial" w:cs="Arial"/>
          <w:sz w:val="20"/>
          <w:szCs w:val="24"/>
        </w:rPr>
      </w:pPr>
    </w:p>
    <w:p w:rsidR="00B66628" w:rsidP="008E654F" w:rsidRDefault="00B16390">
      <w:pPr>
        <w:rPr>
          <w:rFonts w:ascii="Arial" w:hAnsi="Arial" w:cs="Arial"/>
          <w:sz w:val="24"/>
          <w:szCs w:val="24"/>
        </w:rPr>
      </w:pPr>
      <w:r>
        <w:rPr>
          <w:rFonts w:ascii="Arial" w:hAnsi="Arial" w:cs="Arial"/>
          <w:sz w:val="24"/>
          <w:szCs w:val="24"/>
        </w:rPr>
        <w:t xml:space="preserve">Neither of the above allocations were set to continue beyond 2017-18 so </w:t>
      </w:r>
      <w:r w:rsidR="00EE26B0">
        <w:rPr>
          <w:rFonts w:ascii="Arial" w:hAnsi="Arial" w:cs="Arial"/>
          <w:sz w:val="24"/>
          <w:szCs w:val="24"/>
        </w:rPr>
        <w:t>removing the</w:t>
      </w:r>
      <w:r w:rsidR="00B267CB">
        <w:rPr>
          <w:rFonts w:ascii="Arial" w:hAnsi="Arial" w:cs="Arial"/>
          <w:sz w:val="24"/>
          <w:szCs w:val="24"/>
        </w:rPr>
        <w:t xml:space="preserve">m </w:t>
      </w:r>
      <w:r w:rsidR="00EE26B0">
        <w:rPr>
          <w:rFonts w:ascii="Arial" w:hAnsi="Arial" w:cs="Arial"/>
          <w:sz w:val="24"/>
          <w:szCs w:val="24"/>
        </w:rPr>
        <w:t xml:space="preserve">from the </w:t>
      </w:r>
      <w:r w:rsidR="00EE4056">
        <w:rPr>
          <w:rFonts w:ascii="Arial" w:hAnsi="Arial" w:cs="Arial"/>
          <w:sz w:val="24"/>
          <w:szCs w:val="24"/>
        </w:rPr>
        <w:t xml:space="preserve">LA baseline budgets </w:t>
      </w:r>
      <w:r>
        <w:rPr>
          <w:rFonts w:ascii="Arial" w:hAnsi="Arial" w:cs="Arial"/>
          <w:sz w:val="24"/>
          <w:szCs w:val="24"/>
        </w:rPr>
        <w:t xml:space="preserve">makes for a </w:t>
      </w:r>
      <w:r w:rsidR="00782129">
        <w:rPr>
          <w:rFonts w:ascii="Arial" w:hAnsi="Arial" w:cs="Arial"/>
          <w:sz w:val="24"/>
          <w:szCs w:val="24"/>
        </w:rPr>
        <w:t xml:space="preserve">fairer </w:t>
      </w:r>
      <w:r w:rsidR="00371504">
        <w:rPr>
          <w:rFonts w:ascii="Arial" w:hAnsi="Arial" w:cs="Arial"/>
          <w:sz w:val="24"/>
          <w:szCs w:val="24"/>
        </w:rPr>
        <w:t xml:space="preserve">and more representative </w:t>
      </w:r>
      <w:r>
        <w:rPr>
          <w:rFonts w:ascii="Arial" w:hAnsi="Arial" w:cs="Arial"/>
          <w:sz w:val="24"/>
          <w:szCs w:val="24"/>
        </w:rPr>
        <w:t>starting position.</w:t>
      </w:r>
    </w:p>
    <w:p w:rsidR="006C2A57" w:rsidP="008E654F" w:rsidRDefault="006C2A57">
      <w:pPr>
        <w:rPr>
          <w:rFonts w:ascii="Arial" w:hAnsi="Arial" w:cs="Arial"/>
          <w:sz w:val="24"/>
          <w:szCs w:val="24"/>
        </w:rPr>
      </w:pPr>
    </w:p>
    <w:p w:rsidR="006C2A57" w:rsidP="008E654F" w:rsidRDefault="006C2A57">
      <w:pPr>
        <w:rPr>
          <w:rFonts w:ascii="Arial" w:hAnsi="Arial" w:cs="Arial"/>
          <w:sz w:val="24"/>
          <w:szCs w:val="24"/>
        </w:rPr>
      </w:pPr>
      <w:r>
        <w:rPr>
          <w:rFonts w:ascii="Arial" w:hAnsi="Arial" w:cs="Arial"/>
          <w:sz w:val="24"/>
          <w:szCs w:val="24"/>
        </w:rPr>
        <w:t>Schedule 2 shows the gains and losses for each indicator using the proposed multipliers and the 2017-18 pupil and other data sets.</w:t>
      </w:r>
    </w:p>
    <w:p w:rsidR="00D5409F" w:rsidP="008E654F" w:rsidRDefault="00D5409F">
      <w:pPr>
        <w:rPr>
          <w:rFonts w:ascii="Arial" w:hAnsi="Arial" w:cs="Arial"/>
          <w:sz w:val="24"/>
          <w:szCs w:val="24"/>
        </w:rPr>
      </w:pPr>
    </w:p>
    <w:p w:rsidRPr="00B75170" w:rsidR="00A2459D" w:rsidP="00A2459D" w:rsidRDefault="006071AD">
      <w:pPr>
        <w:rPr>
          <w:rFonts w:ascii="Arial" w:hAnsi="Arial" w:cs="Arial"/>
          <w:b/>
          <w:sz w:val="24"/>
          <w:szCs w:val="24"/>
        </w:rPr>
      </w:pPr>
      <w:r>
        <w:rPr>
          <w:rFonts w:ascii="Arial" w:hAnsi="Arial" w:cs="Arial"/>
          <w:b/>
          <w:sz w:val="24"/>
          <w:szCs w:val="24"/>
        </w:rPr>
        <w:t>2.</w:t>
      </w:r>
      <w:r w:rsidR="00036288">
        <w:rPr>
          <w:rFonts w:ascii="Arial" w:hAnsi="Arial" w:cs="Arial"/>
          <w:b/>
          <w:sz w:val="24"/>
          <w:szCs w:val="24"/>
        </w:rPr>
        <w:t>7</w:t>
      </w:r>
      <w:r w:rsidRPr="00B75170" w:rsidR="00A2459D">
        <w:rPr>
          <w:rFonts w:ascii="Arial" w:hAnsi="Arial" w:cs="Arial"/>
          <w:b/>
          <w:sz w:val="24"/>
          <w:szCs w:val="24"/>
        </w:rPr>
        <w:tab/>
      </w:r>
      <w:r w:rsidRPr="006F1054" w:rsidR="00A2459D">
        <w:rPr>
          <w:rFonts w:ascii="Arial" w:hAnsi="Arial" w:cs="Arial"/>
          <w:b/>
          <w:sz w:val="24"/>
          <w:szCs w:val="24"/>
          <w:u w:val="single"/>
        </w:rPr>
        <w:t xml:space="preserve">Health </w:t>
      </w:r>
      <w:r w:rsidR="00F65D44">
        <w:rPr>
          <w:rFonts w:ascii="Arial" w:hAnsi="Arial" w:cs="Arial"/>
          <w:b/>
          <w:sz w:val="24"/>
          <w:szCs w:val="24"/>
          <w:u w:val="single"/>
        </w:rPr>
        <w:t>w</w:t>
      </w:r>
      <w:r w:rsidRPr="006F1054" w:rsidR="00A2459D">
        <w:rPr>
          <w:rFonts w:ascii="Arial" w:hAnsi="Arial" w:cs="Arial"/>
          <w:b/>
          <w:sz w:val="24"/>
          <w:szCs w:val="24"/>
          <w:u w:val="single"/>
        </w:rPr>
        <w:t>arning</w:t>
      </w:r>
      <w:r w:rsidR="00C251CE">
        <w:rPr>
          <w:rFonts w:ascii="Arial" w:hAnsi="Arial" w:cs="Arial"/>
          <w:b/>
          <w:sz w:val="24"/>
          <w:szCs w:val="24"/>
          <w:u w:val="single"/>
        </w:rPr>
        <w:t>s</w:t>
      </w:r>
      <w:r w:rsidRPr="006F1054" w:rsidR="00A2459D">
        <w:rPr>
          <w:rFonts w:ascii="Arial" w:hAnsi="Arial" w:cs="Arial"/>
          <w:b/>
          <w:sz w:val="24"/>
          <w:szCs w:val="24"/>
          <w:u w:val="single"/>
        </w:rPr>
        <w:t xml:space="preserve"> </w:t>
      </w:r>
      <w:r w:rsidR="00F65D44">
        <w:rPr>
          <w:rFonts w:ascii="Arial" w:hAnsi="Arial" w:cs="Arial"/>
          <w:b/>
          <w:sz w:val="24"/>
          <w:szCs w:val="24"/>
          <w:u w:val="single"/>
        </w:rPr>
        <w:t xml:space="preserve">and </w:t>
      </w:r>
      <w:r w:rsidR="00EE26B0">
        <w:rPr>
          <w:rFonts w:ascii="Arial" w:hAnsi="Arial" w:cs="Arial"/>
          <w:b/>
          <w:sz w:val="24"/>
          <w:szCs w:val="24"/>
          <w:u w:val="single"/>
        </w:rPr>
        <w:t xml:space="preserve">LA </w:t>
      </w:r>
      <w:r w:rsidR="00036288">
        <w:rPr>
          <w:rFonts w:ascii="Arial" w:hAnsi="Arial" w:cs="Arial"/>
          <w:b/>
          <w:sz w:val="24"/>
          <w:szCs w:val="24"/>
          <w:u w:val="single"/>
        </w:rPr>
        <w:t xml:space="preserve">baseline </w:t>
      </w:r>
      <w:r w:rsidR="00F65D44">
        <w:rPr>
          <w:rFonts w:ascii="Arial" w:hAnsi="Arial" w:cs="Arial"/>
          <w:b/>
          <w:sz w:val="24"/>
          <w:szCs w:val="24"/>
          <w:u w:val="single"/>
        </w:rPr>
        <w:t xml:space="preserve">budgets </w:t>
      </w:r>
      <w:r w:rsidRPr="006F1054" w:rsidR="00A2459D">
        <w:rPr>
          <w:rFonts w:ascii="Arial" w:hAnsi="Arial" w:cs="Arial"/>
          <w:b/>
          <w:sz w:val="24"/>
          <w:szCs w:val="24"/>
          <w:u w:val="single"/>
        </w:rPr>
        <w:t>(</w:t>
      </w:r>
      <w:r w:rsidR="00113C99">
        <w:rPr>
          <w:rFonts w:ascii="Arial" w:hAnsi="Arial" w:cs="Arial"/>
          <w:b/>
          <w:sz w:val="24"/>
          <w:szCs w:val="24"/>
          <w:u w:val="single"/>
        </w:rPr>
        <w:t>b</w:t>
      </w:r>
      <w:r w:rsidRPr="006F1054" w:rsidR="00A2459D">
        <w:rPr>
          <w:rFonts w:ascii="Arial" w:hAnsi="Arial" w:cs="Arial"/>
          <w:b/>
          <w:sz w:val="24"/>
          <w:szCs w:val="24"/>
          <w:u w:val="single"/>
        </w:rPr>
        <w:t xml:space="preserve">oth </w:t>
      </w:r>
      <w:r w:rsidR="00113C99">
        <w:rPr>
          <w:rFonts w:ascii="Arial" w:hAnsi="Arial" w:cs="Arial"/>
          <w:b/>
          <w:sz w:val="24"/>
          <w:szCs w:val="24"/>
          <w:u w:val="single"/>
        </w:rPr>
        <w:t>s</w:t>
      </w:r>
      <w:r w:rsidRPr="006F1054" w:rsidR="00A2459D">
        <w:rPr>
          <w:rFonts w:ascii="Arial" w:hAnsi="Arial" w:cs="Arial"/>
          <w:b/>
          <w:sz w:val="24"/>
          <w:szCs w:val="24"/>
          <w:u w:val="single"/>
        </w:rPr>
        <w:t>ectors)</w:t>
      </w:r>
    </w:p>
    <w:p w:rsidRPr="00B75170" w:rsidR="00A2459D" w:rsidP="00A2459D" w:rsidRDefault="00A2459D">
      <w:pPr>
        <w:rPr>
          <w:rFonts w:ascii="Arial" w:hAnsi="Arial" w:cs="Arial"/>
          <w:sz w:val="24"/>
          <w:szCs w:val="24"/>
        </w:rPr>
      </w:pPr>
    </w:p>
    <w:p w:rsidR="00A2459D" w:rsidP="00A2459D" w:rsidRDefault="00A2459D">
      <w:pPr>
        <w:rPr>
          <w:rFonts w:ascii="Arial" w:hAnsi="Arial" w:cs="Arial"/>
          <w:sz w:val="24"/>
          <w:szCs w:val="24"/>
        </w:rPr>
      </w:pPr>
      <w:r>
        <w:rPr>
          <w:rFonts w:ascii="Arial" w:hAnsi="Arial" w:cs="Arial"/>
          <w:sz w:val="24"/>
          <w:szCs w:val="24"/>
        </w:rPr>
        <w:t>The modelling</w:t>
      </w:r>
      <w:r w:rsidR="006B20B9">
        <w:rPr>
          <w:rFonts w:ascii="Arial" w:hAnsi="Arial" w:cs="Arial"/>
          <w:sz w:val="24"/>
          <w:szCs w:val="24"/>
        </w:rPr>
        <w:t>,</w:t>
      </w:r>
      <w:r w:rsidR="006071AD">
        <w:rPr>
          <w:rFonts w:ascii="Arial" w:hAnsi="Arial" w:cs="Arial"/>
          <w:sz w:val="24"/>
          <w:szCs w:val="24"/>
        </w:rPr>
        <w:t xml:space="preserve"> </w:t>
      </w:r>
      <w:r>
        <w:rPr>
          <w:rFonts w:ascii="Arial" w:hAnsi="Arial" w:cs="Arial"/>
          <w:sz w:val="24"/>
          <w:szCs w:val="24"/>
        </w:rPr>
        <w:t xml:space="preserve">and the resultant individual school </w:t>
      </w:r>
      <w:r w:rsidR="00A93D72">
        <w:rPr>
          <w:rFonts w:ascii="Arial" w:hAnsi="Arial" w:cs="Arial"/>
          <w:sz w:val="24"/>
          <w:szCs w:val="24"/>
        </w:rPr>
        <w:t xml:space="preserve">and multiplier </w:t>
      </w:r>
      <w:r>
        <w:rPr>
          <w:rFonts w:ascii="Arial" w:hAnsi="Arial" w:cs="Arial"/>
          <w:sz w:val="24"/>
          <w:szCs w:val="24"/>
        </w:rPr>
        <w:t>information</w:t>
      </w:r>
      <w:r w:rsidR="006B20B9">
        <w:rPr>
          <w:rFonts w:ascii="Arial" w:hAnsi="Arial" w:cs="Arial"/>
          <w:sz w:val="24"/>
          <w:szCs w:val="24"/>
        </w:rPr>
        <w:t>,</w:t>
      </w:r>
      <w:r>
        <w:rPr>
          <w:rFonts w:ascii="Arial" w:hAnsi="Arial" w:cs="Arial"/>
          <w:sz w:val="24"/>
          <w:szCs w:val="24"/>
        </w:rPr>
        <w:t xml:space="preserve"> are intended to illustrat</w:t>
      </w:r>
      <w:r w:rsidR="006B20B9">
        <w:rPr>
          <w:rFonts w:ascii="Arial" w:hAnsi="Arial" w:cs="Arial"/>
          <w:sz w:val="24"/>
          <w:szCs w:val="24"/>
        </w:rPr>
        <w:t xml:space="preserve">e </w:t>
      </w:r>
      <w:r>
        <w:rPr>
          <w:rFonts w:ascii="Arial" w:hAnsi="Arial" w:cs="Arial"/>
          <w:sz w:val="24"/>
          <w:szCs w:val="24"/>
        </w:rPr>
        <w:t xml:space="preserve">the impact of the </w:t>
      </w:r>
      <w:r w:rsidR="00B267CB">
        <w:rPr>
          <w:rFonts w:ascii="Arial" w:hAnsi="Arial" w:cs="Arial"/>
          <w:sz w:val="24"/>
          <w:szCs w:val="24"/>
        </w:rPr>
        <w:t xml:space="preserve">LA’s </w:t>
      </w:r>
      <w:r>
        <w:rPr>
          <w:rFonts w:ascii="Arial" w:hAnsi="Arial" w:cs="Arial"/>
          <w:sz w:val="24"/>
          <w:szCs w:val="24"/>
        </w:rPr>
        <w:t>propos</w:t>
      </w:r>
      <w:r w:rsidR="00B267CB">
        <w:rPr>
          <w:rFonts w:ascii="Arial" w:hAnsi="Arial" w:cs="Arial"/>
          <w:sz w:val="24"/>
          <w:szCs w:val="24"/>
        </w:rPr>
        <w:t>als</w:t>
      </w:r>
      <w:r>
        <w:rPr>
          <w:rFonts w:ascii="Arial" w:hAnsi="Arial" w:cs="Arial"/>
          <w:sz w:val="24"/>
          <w:szCs w:val="24"/>
        </w:rPr>
        <w:t xml:space="preserve">.  </w:t>
      </w:r>
      <w:r w:rsidRPr="00A2459D">
        <w:rPr>
          <w:rFonts w:ascii="Arial" w:hAnsi="Arial" w:cs="Arial"/>
          <w:b/>
          <w:sz w:val="24"/>
          <w:szCs w:val="24"/>
        </w:rPr>
        <w:t xml:space="preserve">However, the multipliers implied </w:t>
      </w:r>
      <w:r w:rsidR="005F211B">
        <w:rPr>
          <w:rFonts w:ascii="Arial" w:hAnsi="Arial" w:cs="Arial"/>
          <w:b/>
          <w:sz w:val="24"/>
          <w:szCs w:val="24"/>
        </w:rPr>
        <w:t xml:space="preserve">by </w:t>
      </w:r>
      <w:r w:rsidR="00C63F3B">
        <w:rPr>
          <w:rFonts w:ascii="Arial" w:hAnsi="Arial" w:cs="Arial"/>
          <w:b/>
          <w:sz w:val="24"/>
          <w:szCs w:val="24"/>
        </w:rPr>
        <w:t xml:space="preserve">the modelling </w:t>
      </w:r>
      <w:r w:rsidRPr="00A2459D">
        <w:rPr>
          <w:rFonts w:ascii="Arial" w:hAnsi="Arial" w:cs="Arial"/>
          <w:b/>
          <w:sz w:val="24"/>
          <w:szCs w:val="24"/>
        </w:rPr>
        <w:t xml:space="preserve">cannot be guaranteed </w:t>
      </w:r>
      <w:r w:rsidRPr="00A2459D" w:rsidR="005F211B">
        <w:rPr>
          <w:rFonts w:ascii="Arial" w:hAnsi="Arial" w:cs="Arial"/>
          <w:b/>
          <w:sz w:val="24"/>
          <w:szCs w:val="24"/>
        </w:rPr>
        <w:t xml:space="preserve">for 2018-19 </w:t>
      </w:r>
      <w:r w:rsidRPr="00A2459D">
        <w:rPr>
          <w:rFonts w:ascii="Arial" w:hAnsi="Arial" w:cs="Arial"/>
          <w:b/>
          <w:sz w:val="24"/>
          <w:szCs w:val="24"/>
        </w:rPr>
        <w:t>at this stage.</w:t>
      </w:r>
      <w:r>
        <w:rPr>
          <w:rFonts w:ascii="Arial" w:hAnsi="Arial" w:cs="Arial"/>
          <w:sz w:val="24"/>
          <w:szCs w:val="24"/>
        </w:rPr>
        <w:t xml:space="preserve"> All of the modelling has been based on the data used to determine schools’ 2017-18 budget shares.  The actual budgets and multipliers for next year will be </w:t>
      </w:r>
      <w:r w:rsidR="006B20B9">
        <w:rPr>
          <w:rFonts w:ascii="Arial" w:hAnsi="Arial" w:cs="Arial"/>
          <w:sz w:val="24"/>
          <w:szCs w:val="24"/>
        </w:rPr>
        <w:t xml:space="preserve">affected </w:t>
      </w:r>
      <w:r>
        <w:rPr>
          <w:rFonts w:ascii="Arial" w:hAnsi="Arial" w:cs="Arial"/>
          <w:sz w:val="24"/>
          <w:szCs w:val="24"/>
        </w:rPr>
        <w:t>by:</w:t>
      </w:r>
    </w:p>
    <w:p w:rsidRPr="006B20B9" w:rsidR="00A2459D" w:rsidP="00A2459D" w:rsidRDefault="00A2459D">
      <w:pPr>
        <w:rPr>
          <w:rFonts w:ascii="Arial" w:hAnsi="Arial" w:cs="Arial"/>
          <w:sz w:val="18"/>
          <w:szCs w:val="24"/>
        </w:rPr>
      </w:pPr>
    </w:p>
    <w:p w:rsidR="00A2459D" w:rsidP="00A2459D" w:rsidRDefault="00A2459D">
      <w:pPr>
        <w:pStyle w:val="ListParagraph"/>
        <w:numPr>
          <w:ilvl w:val="0"/>
          <w:numId w:val="5"/>
        </w:numPr>
        <w:ind w:left="993" w:hanging="567"/>
        <w:rPr>
          <w:rFonts w:ascii="Arial" w:hAnsi="Arial" w:cs="Arial"/>
          <w:sz w:val="24"/>
          <w:szCs w:val="24"/>
        </w:rPr>
      </w:pPr>
      <w:r>
        <w:rPr>
          <w:rFonts w:ascii="Arial" w:hAnsi="Arial" w:cs="Arial"/>
          <w:sz w:val="24"/>
          <w:szCs w:val="24"/>
        </w:rPr>
        <w:t xml:space="preserve">The actual Schools Block </w:t>
      </w:r>
      <w:r w:rsidR="00B16390">
        <w:rPr>
          <w:rFonts w:ascii="Arial" w:hAnsi="Arial" w:cs="Arial"/>
          <w:sz w:val="24"/>
          <w:szCs w:val="24"/>
        </w:rPr>
        <w:t xml:space="preserve">quantum </w:t>
      </w:r>
      <w:r>
        <w:rPr>
          <w:rFonts w:ascii="Arial" w:hAnsi="Arial" w:cs="Arial"/>
          <w:sz w:val="24"/>
          <w:szCs w:val="24"/>
        </w:rPr>
        <w:t>for 2018-</w:t>
      </w:r>
      <w:r w:rsidR="00BF6F47">
        <w:rPr>
          <w:rFonts w:ascii="Arial" w:hAnsi="Arial" w:cs="Arial"/>
          <w:sz w:val="24"/>
          <w:szCs w:val="24"/>
        </w:rPr>
        <w:t>1</w:t>
      </w:r>
      <w:r>
        <w:rPr>
          <w:rFonts w:ascii="Arial" w:hAnsi="Arial" w:cs="Arial"/>
          <w:sz w:val="24"/>
          <w:szCs w:val="24"/>
        </w:rPr>
        <w:t>9;</w:t>
      </w:r>
    </w:p>
    <w:p w:rsidRPr="00B267CB" w:rsidR="006B20B9" w:rsidP="006B20B9" w:rsidRDefault="006B20B9">
      <w:pPr>
        <w:pStyle w:val="ListParagraph"/>
        <w:ind w:left="993"/>
        <w:rPr>
          <w:rFonts w:ascii="Arial" w:hAnsi="Arial" w:cs="Arial"/>
          <w:sz w:val="18"/>
          <w:szCs w:val="24"/>
        </w:rPr>
      </w:pPr>
    </w:p>
    <w:p w:rsidR="0033428C" w:rsidP="00A2459D" w:rsidRDefault="00A2459D">
      <w:pPr>
        <w:pStyle w:val="ListParagraph"/>
        <w:numPr>
          <w:ilvl w:val="0"/>
          <w:numId w:val="5"/>
        </w:numPr>
        <w:ind w:left="993" w:hanging="567"/>
        <w:rPr>
          <w:rFonts w:ascii="Arial" w:hAnsi="Arial" w:cs="Arial"/>
          <w:sz w:val="24"/>
          <w:szCs w:val="24"/>
        </w:rPr>
      </w:pPr>
      <w:r>
        <w:rPr>
          <w:rFonts w:ascii="Arial" w:hAnsi="Arial" w:cs="Arial"/>
          <w:sz w:val="24"/>
          <w:szCs w:val="24"/>
        </w:rPr>
        <w:t xml:space="preserve">The impact of demographic data changes, other than pupil numbers, that are not reflected </w:t>
      </w:r>
      <w:r w:rsidR="00AE237C">
        <w:rPr>
          <w:rFonts w:ascii="Arial" w:hAnsi="Arial" w:cs="Arial"/>
          <w:sz w:val="24"/>
          <w:szCs w:val="24"/>
        </w:rPr>
        <w:t xml:space="preserve">(funded) </w:t>
      </w:r>
      <w:r>
        <w:rPr>
          <w:rFonts w:ascii="Arial" w:hAnsi="Arial" w:cs="Arial"/>
          <w:sz w:val="24"/>
          <w:szCs w:val="24"/>
        </w:rPr>
        <w:t>in the Schools Block e.g. increase</w:t>
      </w:r>
      <w:r w:rsidR="00AE237C">
        <w:rPr>
          <w:rFonts w:ascii="Arial" w:hAnsi="Arial" w:cs="Arial"/>
          <w:sz w:val="24"/>
          <w:szCs w:val="24"/>
        </w:rPr>
        <w:t>s</w:t>
      </w:r>
      <w:r>
        <w:rPr>
          <w:rFonts w:ascii="Arial" w:hAnsi="Arial" w:cs="Arial"/>
          <w:sz w:val="24"/>
          <w:szCs w:val="24"/>
        </w:rPr>
        <w:t xml:space="preserve"> in free school meals entitlement, changes in school rates valuations, changes in prior attainment data </w:t>
      </w:r>
      <w:proofErr w:type="spellStart"/>
      <w:r>
        <w:rPr>
          <w:rFonts w:ascii="Arial" w:hAnsi="Arial" w:cs="Arial"/>
          <w:sz w:val="24"/>
          <w:szCs w:val="24"/>
        </w:rPr>
        <w:t>etc</w:t>
      </w:r>
      <w:proofErr w:type="spellEnd"/>
      <w:r>
        <w:rPr>
          <w:rFonts w:ascii="Arial" w:hAnsi="Arial" w:cs="Arial"/>
          <w:sz w:val="24"/>
          <w:szCs w:val="24"/>
        </w:rPr>
        <w:t xml:space="preserve">; </w:t>
      </w:r>
    </w:p>
    <w:p w:rsidRPr="00B267CB" w:rsidR="006B20B9" w:rsidP="006B20B9" w:rsidRDefault="006B20B9">
      <w:pPr>
        <w:pStyle w:val="ListParagraph"/>
        <w:ind w:left="993"/>
        <w:rPr>
          <w:rFonts w:ascii="Arial" w:hAnsi="Arial" w:cs="Arial"/>
          <w:sz w:val="18"/>
          <w:szCs w:val="24"/>
        </w:rPr>
      </w:pPr>
    </w:p>
    <w:p w:rsidR="00A2459D" w:rsidP="00A2459D" w:rsidRDefault="0033428C">
      <w:pPr>
        <w:pStyle w:val="ListParagraph"/>
        <w:numPr>
          <w:ilvl w:val="0"/>
          <w:numId w:val="5"/>
        </w:numPr>
        <w:ind w:left="993" w:hanging="567"/>
        <w:rPr>
          <w:rFonts w:ascii="Arial" w:hAnsi="Arial" w:cs="Arial"/>
          <w:sz w:val="24"/>
          <w:szCs w:val="24"/>
        </w:rPr>
      </w:pPr>
      <w:r>
        <w:rPr>
          <w:rFonts w:ascii="Arial" w:hAnsi="Arial" w:cs="Arial"/>
          <w:sz w:val="24"/>
          <w:szCs w:val="24"/>
        </w:rPr>
        <w:t>The need for funding to be top-sliced to increase the size of the existing growth fund</w:t>
      </w:r>
      <w:r w:rsidR="00E46198">
        <w:rPr>
          <w:rFonts w:ascii="Arial" w:hAnsi="Arial" w:cs="Arial"/>
          <w:sz w:val="24"/>
          <w:szCs w:val="24"/>
        </w:rPr>
        <w:t xml:space="preserve"> </w:t>
      </w:r>
      <w:r w:rsidR="00DD2FDC">
        <w:rPr>
          <w:rFonts w:ascii="Arial" w:hAnsi="Arial" w:cs="Arial"/>
          <w:sz w:val="24"/>
          <w:szCs w:val="24"/>
        </w:rPr>
        <w:t xml:space="preserve">or create new ones </w:t>
      </w:r>
      <w:r w:rsidR="00E46198">
        <w:rPr>
          <w:rFonts w:ascii="Arial" w:hAnsi="Arial" w:cs="Arial"/>
          <w:sz w:val="24"/>
          <w:szCs w:val="24"/>
        </w:rPr>
        <w:t>(see section 3)</w:t>
      </w:r>
      <w:r>
        <w:rPr>
          <w:rFonts w:ascii="Arial" w:hAnsi="Arial" w:cs="Arial"/>
          <w:sz w:val="24"/>
          <w:szCs w:val="24"/>
        </w:rPr>
        <w:t xml:space="preserve">; </w:t>
      </w:r>
    </w:p>
    <w:p w:rsidRPr="00B267CB" w:rsidR="006B20B9" w:rsidP="006B20B9" w:rsidRDefault="006B20B9">
      <w:pPr>
        <w:pStyle w:val="ListParagraph"/>
        <w:ind w:left="993"/>
        <w:rPr>
          <w:rFonts w:ascii="Arial" w:hAnsi="Arial" w:cs="Arial"/>
          <w:sz w:val="18"/>
          <w:szCs w:val="24"/>
        </w:rPr>
      </w:pPr>
    </w:p>
    <w:p w:rsidR="000158AC" w:rsidP="00A2459D" w:rsidRDefault="00A2459D">
      <w:pPr>
        <w:pStyle w:val="ListParagraph"/>
        <w:numPr>
          <w:ilvl w:val="0"/>
          <w:numId w:val="5"/>
        </w:numPr>
        <w:ind w:left="993" w:hanging="567"/>
        <w:rPr>
          <w:rFonts w:ascii="Arial" w:hAnsi="Arial" w:cs="Arial"/>
          <w:sz w:val="24"/>
          <w:szCs w:val="24"/>
        </w:rPr>
      </w:pPr>
      <w:r>
        <w:rPr>
          <w:rFonts w:ascii="Arial" w:hAnsi="Arial" w:cs="Arial"/>
          <w:sz w:val="24"/>
          <w:szCs w:val="24"/>
        </w:rPr>
        <w:t xml:space="preserve">The impact of unfunded cost pressures, such as any increase in the National Non Domestic Rating multiplier which determines schools’ rates costs, and for which no increase </w:t>
      </w:r>
      <w:r w:rsidR="00AE237C">
        <w:rPr>
          <w:rFonts w:ascii="Arial" w:hAnsi="Arial" w:cs="Arial"/>
          <w:sz w:val="24"/>
          <w:szCs w:val="24"/>
        </w:rPr>
        <w:t xml:space="preserve">in funding </w:t>
      </w:r>
      <w:r>
        <w:rPr>
          <w:rFonts w:ascii="Arial" w:hAnsi="Arial" w:cs="Arial"/>
          <w:sz w:val="24"/>
          <w:szCs w:val="24"/>
        </w:rPr>
        <w:t>is expected</w:t>
      </w:r>
      <w:r w:rsidR="00A370BC">
        <w:rPr>
          <w:rFonts w:ascii="Arial" w:hAnsi="Arial" w:cs="Arial"/>
          <w:sz w:val="24"/>
          <w:szCs w:val="24"/>
        </w:rPr>
        <w:t xml:space="preserve">; </w:t>
      </w:r>
    </w:p>
    <w:p w:rsidRPr="00B267CB" w:rsidR="000158AC" w:rsidP="000158AC" w:rsidRDefault="000158AC">
      <w:pPr>
        <w:pStyle w:val="ListParagraph"/>
        <w:rPr>
          <w:rFonts w:ascii="Arial" w:hAnsi="Arial" w:cs="Arial"/>
          <w:sz w:val="18"/>
          <w:szCs w:val="24"/>
        </w:rPr>
      </w:pPr>
    </w:p>
    <w:p w:rsidR="00A370BC" w:rsidP="00A2459D" w:rsidRDefault="000158AC">
      <w:pPr>
        <w:pStyle w:val="ListParagraph"/>
        <w:numPr>
          <w:ilvl w:val="0"/>
          <w:numId w:val="5"/>
        </w:numPr>
        <w:ind w:left="993" w:hanging="567"/>
        <w:rPr>
          <w:rFonts w:ascii="Arial" w:hAnsi="Arial" w:cs="Arial"/>
          <w:sz w:val="24"/>
          <w:szCs w:val="24"/>
        </w:rPr>
      </w:pPr>
      <w:r>
        <w:rPr>
          <w:rFonts w:ascii="Arial" w:hAnsi="Arial" w:cs="Arial"/>
          <w:sz w:val="24"/>
          <w:szCs w:val="24"/>
        </w:rPr>
        <w:t xml:space="preserve">Further clarification of the likely funding quantum for 2019-20 to ensure the model remains affordable; </w:t>
      </w:r>
      <w:r w:rsidR="00A370BC">
        <w:rPr>
          <w:rFonts w:ascii="Arial" w:hAnsi="Arial" w:cs="Arial"/>
          <w:sz w:val="24"/>
          <w:szCs w:val="24"/>
        </w:rPr>
        <w:t>and</w:t>
      </w:r>
    </w:p>
    <w:p w:rsidRPr="00B267CB" w:rsidR="00A370BC" w:rsidP="00A370BC" w:rsidRDefault="00A370BC">
      <w:pPr>
        <w:pStyle w:val="ListParagraph"/>
        <w:rPr>
          <w:rFonts w:ascii="Arial" w:hAnsi="Arial" w:cs="Arial"/>
          <w:sz w:val="18"/>
          <w:szCs w:val="24"/>
        </w:rPr>
      </w:pPr>
    </w:p>
    <w:p w:rsidRPr="00B75170" w:rsidR="00A2459D" w:rsidP="00A2459D" w:rsidRDefault="00A370BC">
      <w:pPr>
        <w:pStyle w:val="ListParagraph"/>
        <w:numPr>
          <w:ilvl w:val="0"/>
          <w:numId w:val="5"/>
        </w:numPr>
        <w:ind w:left="993" w:hanging="567"/>
        <w:rPr>
          <w:rFonts w:ascii="Arial" w:hAnsi="Arial" w:cs="Arial"/>
          <w:sz w:val="24"/>
          <w:szCs w:val="24"/>
        </w:rPr>
      </w:pPr>
      <w:r>
        <w:rPr>
          <w:rFonts w:ascii="Arial" w:hAnsi="Arial" w:cs="Arial"/>
          <w:sz w:val="24"/>
          <w:szCs w:val="24"/>
        </w:rPr>
        <w:t>Any changes arising from the responses to this consultation</w:t>
      </w:r>
      <w:r w:rsidR="00271D15">
        <w:rPr>
          <w:rFonts w:ascii="Arial" w:hAnsi="Arial" w:cs="Arial"/>
          <w:sz w:val="24"/>
          <w:szCs w:val="24"/>
        </w:rPr>
        <w:t>, including the impact of the potential growth fund developments discussed in section 3.</w:t>
      </w:r>
    </w:p>
    <w:p w:rsidR="00B16390" w:rsidP="00A85DC7" w:rsidRDefault="00B16390">
      <w:pPr>
        <w:rPr>
          <w:rFonts w:ascii="Arial" w:hAnsi="Arial" w:cs="Arial"/>
          <w:b/>
          <w:sz w:val="24"/>
          <w:szCs w:val="24"/>
        </w:rPr>
      </w:pPr>
    </w:p>
    <w:p w:rsidR="00213571" w:rsidP="00A85DC7" w:rsidRDefault="00213571">
      <w:pPr>
        <w:rPr>
          <w:rFonts w:ascii="Arial" w:hAnsi="Arial" w:cs="Arial"/>
          <w:b/>
          <w:sz w:val="24"/>
          <w:szCs w:val="24"/>
        </w:rPr>
      </w:pPr>
      <w:r>
        <w:rPr>
          <w:rFonts w:ascii="Arial" w:hAnsi="Arial" w:cs="Arial"/>
          <w:b/>
          <w:sz w:val="24"/>
          <w:szCs w:val="24"/>
        </w:rPr>
        <w:t>2.8</w:t>
      </w:r>
      <w:r>
        <w:rPr>
          <w:rFonts w:ascii="Arial" w:hAnsi="Arial" w:cs="Arial"/>
          <w:b/>
          <w:sz w:val="24"/>
          <w:szCs w:val="24"/>
        </w:rPr>
        <w:tab/>
      </w:r>
      <w:r w:rsidRPr="001361FB">
        <w:rPr>
          <w:rFonts w:ascii="Arial" w:hAnsi="Arial" w:cs="Arial"/>
          <w:b/>
          <w:sz w:val="24"/>
          <w:szCs w:val="24"/>
          <w:u w:val="single"/>
        </w:rPr>
        <w:t>Potential variations to the pr</w:t>
      </w:r>
      <w:r w:rsidR="00113C99">
        <w:rPr>
          <w:rFonts w:ascii="Arial" w:hAnsi="Arial" w:cs="Arial"/>
          <w:b/>
          <w:sz w:val="24"/>
          <w:szCs w:val="24"/>
          <w:u w:val="single"/>
        </w:rPr>
        <w:t xml:space="preserve">oposed </w:t>
      </w:r>
      <w:r w:rsidRPr="001361FB">
        <w:rPr>
          <w:rFonts w:ascii="Arial" w:hAnsi="Arial" w:cs="Arial"/>
          <w:b/>
          <w:sz w:val="24"/>
          <w:szCs w:val="24"/>
          <w:u w:val="single"/>
        </w:rPr>
        <w:t xml:space="preserve">model </w:t>
      </w:r>
    </w:p>
    <w:p w:rsidR="00213571" w:rsidP="00A85DC7" w:rsidRDefault="00213571">
      <w:pPr>
        <w:rPr>
          <w:rFonts w:ascii="Arial" w:hAnsi="Arial" w:cs="Arial"/>
          <w:b/>
          <w:sz w:val="24"/>
          <w:szCs w:val="24"/>
        </w:rPr>
      </w:pPr>
    </w:p>
    <w:p w:rsidR="00CC07B7" w:rsidP="00CC07B7" w:rsidRDefault="00CC07B7">
      <w:pPr>
        <w:rPr>
          <w:rFonts w:ascii="Arial" w:hAnsi="Arial" w:cs="Arial"/>
          <w:sz w:val="24"/>
          <w:szCs w:val="24"/>
        </w:rPr>
      </w:pPr>
      <w:r>
        <w:rPr>
          <w:rFonts w:ascii="Arial" w:hAnsi="Arial" w:cs="Arial"/>
          <w:sz w:val="24"/>
          <w:szCs w:val="24"/>
        </w:rPr>
        <w:t xml:space="preserve">One of many potential variations to the model would be to set a less generous level of MFG protection. If MFG were set at, say, 0% per pupil this would reduce the cost of the MFG protection. In the primary sector the funding released </w:t>
      </w:r>
      <w:r w:rsidR="004B133D">
        <w:rPr>
          <w:rFonts w:ascii="Arial" w:hAnsi="Arial" w:cs="Arial"/>
          <w:sz w:val="24"/>
          <w:szCs w:val="24"/>
        </w:rPr>
        <w:t>(~</w:t>
      </w:r>
      <w:r w:rsidRPr="00322988">
        <w:rPr>
          <w:rFonts w:ascii="Arial" w:hAnsi="Arial" w:cs="Arial"/>
          <w:sz w:val="24"/>
          <w:szCs w:val="24"/>
        </w:rPr>
        <w:t>£0.189m</w:t>
      </w:r>
      <w:r w:rsidR="004B133D">
        <w:rPr>
          <w:rFonts w:ascii="Arial" w:hAnsi="Arial" w:cs="Arial"/>
          <w:sz w:val="24"/>
          <w:szCs w:val="24"/>
        </w:rPr>
        <w:t>)</w:t>
      </w:r>
      <w:r>
        <w:rPr>
          <w:rFonts w:ascii="Arial" w:hAnsi="Arial" w:cs="Arial"/>
          <w:sz w:val="24"/>
          <w:szCs w:val="24"/>
        </w:rPr>
        <w:t xml:space="preserve"> could be reallocated by one or more of the following actions:</w:t>
      </w:r>
    </w:p>
    <w:p w:rsidR="00CC07B7" w:rsidP="00CC07B7" w:rsidRDefault="00CC07B7">
      <w:pPr>
        <w:rPr>
          <w:rFonts w:ascii="Arial" w:hAnsi="Arial" w:cs="Arial"/>
          <w:sz w:val="24"/>
          <w:szCs w:val="24"/>
        </w:rPr>
      </w:pPr>
    </w:p>
    <w:p w:rsidR="00CC07B7" w:rsidP="00CC07B7" w:rsidRDefault="00CC07B7">
      <w:pPr>
        <w:pStyle w:val="ListParagraph"/>
        <w:numPr>
          <w:ilvl w:val="0"/>
          <w:numId w:val="10"/>
        </w:numPr>
        <w:rPr>
          <w:rFonts w:ascii="Arial" w:hAnsi="Arial" w:cs="Arial"/>
          <w:sz w:val="24"/>
          <w:szCs w:val="24"/>
        </w:rPr>
      </w:pPr>
      <w:r w:rsidRPr="004C22CA">
        <w:rPr>
          <w:rFonts w:ascii="Arial" w:hAnsi="Arial" w:cs="Arial"/>
          <w:sz w:val="24"/>
          <w:szCs w:val="24"/>
        </w:rPr>
        <w:t>increasing the cap on gains</w:t>
      </w:r>
      <w:r>
        <w:rPr>
          <w:rFonts w:ascii="Arial" w:hAnsi="Arial" w:cs="Arial"/>
          <w:sz w:val="24"/>
          <w:szCs w:val="24"/>
        </w:rPr>
        <w:t xml:space="preserve"> above the proposed 3%;</w:t>
      </w:r>
      <w:r w:rsidRPr="004C22CA">
        <w:rPr>
          <w:rFonts w:ascii="Arial" w:hAnsi="Arial" w:cs="Arial"/>
          <w:sz w:val="24"/>
          <w:szCs w:val="24"/>
        </w:rPr>
        <w:t xml:space="preserve"> </w:t>
      </w:r>
    </w:p>
    <w:p w:rsidR="00CC07B7" w:rsidP="00CC07B7" w:rsidRDefault="00CC07B7">
      <w:pPr>
        <w:pStyle w:val="ListParagraph"/>
        <w:numPr>
          <w:ilvl w:val="0"/>
          <w:numId w:val="10"/>
        </w:numPr>
        <w:rPr>
          <w:rFonts w:ascii="Arial" w:hAnsi="Arial" w:cs="Arial"/>
          <w:sz w:val="24"/>
          <w:szCs w:val="24"/>
        </w:rPr>
      </w:pPr>
      <w:r w:rsidRPr="004C22CA">
        <w:rPr>
          <w:rFonts w:ascii="Arial" w:hAnsi="Arial" w:cs="Arial"/>
          <w:sz w:val="24"/>
          <w:szCs w:val="24"/>
        </w:rPr>
        <w:t>increasing the mi</w:t>
      </w:r>
      <w:r>
        <w:rPr>
          <w:rFonts w:ascii="Arial" w:hAnsi="Arial" w:cs="Arial"/>
          <w:sz w:val="24"/>
          <w:szCs w:val="24"/>
        </w:rPr>
        <w:t>ni</w:t>
      </w:r>
      <w:r w:rsidRPr="004C22CA">
        <w:rPr>
          <w:rFonts w:ascii="Arial" w:hAnsi="Arial" w:cs="Arial"/>
          <w:sz w:val="24"/>
          <w:szCs w:val="24"/>
        </w:rPr>
        <w:t xml:space="preserve">mum </w:t>
      </w:r>
      <w:r>
        <w:rPr>
          <w:rFonts w:ascii="Arial" w:hAnsi="Arial" w:cs="Arial"/>
          <w:sz w:val="24"/>
          <w:szCs w:val="24"/>
        </w:rPr>
        <w:t xml:space="preserve">funding </w:t>
      </w:r>
      <w:r w:rsidRPr="004C22CA">
        <w:rPr>
          <w:rFonts w:ascii="Arial" w:hAnsi="Arial" w:cs="Arial"/>
          <w:sz w:val="24"/>
          <w:szCs w:val="24"/>
        </w:rPr>
        <w:t>threshold above £3,300</w:t>
      </w:r>
      <w:r>
        <w:rPr>
          <w:rFonts w:ascii="Arial" w:hAnsi="Arial" w:cs="Arial"/>
          <w:sz w:val="24"/>
          <w:szCs w:val="24"/>
        </w:rPr>
        <w:t>;</w:t>
      </w:r>
    </w:p>
    <w:p w:rsidR="00CC07B7" w:rsidP="00CC07B7" w:rsidRDefault="00CC07B7">
      <w:pPr>
        <w:pStyle w:val="ListParagraph"/>
        <w:numPr>
          <w:ilvl w:val="0"/>
          <w:numId w:val="10"/>
        </w:numPr>
        <w:rPr>
          <w:rFonts w:ascii="Arial" w:hAnsi="Arial" w:cs="Arial"/>
          <w:sz w:val="24"/>
          <w:szCs w:val="24"/>
        </w:rPr>
      </w:pPr>
      <w:r>
        <w:rPr>
          <w:rFonts w:ascii="Arial" w:hAnsi="Arial" w:cs="Arial"/>
          <w:sz w:val="24"/>
          <w:szCs w:val="24"/>
        </w:rPr>
        <w:t>increasing the LPA multiplier further; and/or</w:t>
      </w:r>
    </w:p>
    <w:p w:rsidRPr="004C22CA" w:rsidR="00CC07B7" w:rsidP="00CC07B7" w:rsidRDefault="00CC07B7">
      <w:pPr>
        <w:pStyle w:val="ListParagraph"/>
        <w:numPr>
          <w:ilvl w:val="0"/>
          <w:numId w:val="10"/>
        </w:numPr>
        <w:rPr>
          <w:rFonts w:ascii="Arial" w:hAnsi="Arial" w:cs="Arial"/>
          <w:sz w:val="24"/>
          <w:szCs w:val="24"/>
        </w:rPr>
      </w:pPr>
      <w:proofErr w:type="gramStart"/>
      <w:r>
        <w:rPr>
          <w:rFonts w:ascii="Arial" w:hAnsi="Arial" w:cs="Arial"/>
          <w:sz w:val="24"/>
          <w:szCs w:val="24"/>
        </w:rPr>
        <w:t>increasing</w:t>
      </w:r>
      <w:proofErr w:type="gramEnd"/>
      <w:r>
        <w:rPr>
          <w:rFonts w:ascii="Arial" w:hAnsi="Arial" w:cs="Arial"/>
          <w:sz w:val="24"/>
          <w:szCs w:val="24"/>
        </w:rPr>
        <w:t xml:space="preserve"> one or the other multipliers to a level above the NFF.</w:t>
      </w:r>
    </w:p>
    <w:p w:rsidR="00CC07B7" w:rsidP="00CC07B7" w:rsidRDefault="00CC07B7">
      <w:pPr>
        <w:rPr>
          <w:rFonts w:ascii="Arial" w:hAnsi="Arial" w:cs="Arial"/>
          <w:sz w:val="24"/>
          <w:szCs w:val="24"/>
        </w:rPr>
      </w:pPr>
    </w:p>
    <w:p w:rsidR="00CC07B7" w:rsidP="00CC07B7" w:rsidRDefault="00CC07B7">
      <w:pPr>
        <w:rPr>
          <w:rFonts w:ascii="Arial" w:hAnsi="Arial" w:cs="Arial"/>
          <w:sz w:val="24"/>
          <w:szCs w:val="24"/>
        </w:rPr>
      </w:pPr>
      <w:r>
        <w:rPr>
          <w:rFonts w:ascii="Arial" w:hAnsi="Arial" w:cs="Arial"/>
          <w:sz w:val="24"/>
          <w:szCs w:val="24"/>
        </w:rPr>
        <w:t xml:space="preserve">Another variation would be to phase the proposed reduction in the primary sector lump sum, £19,622 (from £129,622 to £110,000).  However, the benefits of doing this are marginal, particularly for the smallest schools, as the increased lump sum funding would be largely offset by a reduction in MFG protection. A sample calculation of this change is provided at Appendix </w:t>
      </w:r>
      <w:r w:rsidR="0043467F">
        <w:rPr>
          <w:rFonts w:ascii="Arial" w:hAnsi="Arial" w:cs="Arial"/>
          <w:sz w:val="24"/>
          <w:szCs w:val="24"/>
        </w:rPr>
        <w:t>2</w:t>
      </w:r>
      <w:r>
        <w:rPr>
          <w:rFonts w:ascii="Arial" w:hAnsi="Arial" w:cs="Arial"/>
          <w:sz w:val="24"/>
          <w:szCs w:val="24"/>
        </w:rPr>
        <w:t>.</w:t>
      </w:r>
    </w:p>
    <w:p w:rsidR="00CC07B7" w:rsidP="00CC07B7" w:rsidRDefault="00CC07B7">
      <w:pPr>
        <w:rPr>
          <w:rFonts w:ascii="Arial" w:hAnsi="Arial" w:cs="Arial"/>
          <w:sz w:val="24"/>
          <w:szCs w:val="24"/>
        </w:rPr>
      </w:pPr>
    </w:p>
    <w:p w:rsidR="00CC07B7" w:rsidP="00CC07B7" w:rsidRDefault="00CC07B7">
      <w:pPr>
        <w:rPr>
          <w:rFonts w:ascii="Arial" w:hAnsi="Arial" w:cs="Arial"/>
          <w:sz w:val="24"/>
          <w:szCs w:val="24"/>
        </w:rPr>
      </w:pPr>
      <w:r>
        <w:rPr>
          <w:rFonts w:ascii="Arial" w:hAnsi="Arial" w:cs="Arial"/>
          <w:sz w:val="24"/>
          <w:szCs w:val="24"/>
        </w:rPr>
        <w:t xml:space="preserve">The reduced MFG rate would also have to apply to the secondary sector. The gross MFG saving </w:t>
      </w:r>
      <w:r w:rsidR="004B133D">
        <w:rPr>
          <w:rFonts w:ascii="Arial" w:hAnsi="Arial" w:cs="Arial"/>
          <w:sz w:val="24"/>
          <w:szCs w:val="24"/>
        </w:rPr>
        <w:t>(~</w:t>
      </w:r>
      <w:r>
        <w:rPr>
          <w:rFonts w:ascii="Arial" w:hAnsi="Arial" w:cs="Arial"/>
          <w:sz w:val="24"/>
          <w:szCs w:val="24"/>
        </w:rPr>
        <w:t>£0.621m</w:t>
      </w:r>
      <w:r w:rsidR="004B133D">
        <w:rPr>
          <w:rFonts w:ascii="Arial" w:hAnsi="Arial" w:cs="Arial"/>
          <w:sz w:val="24"/>
          <w:szCs w:val="24"/>
        </w:rPr>
        <w:t xml:space="preserve">) </w:t>
      </w:r>
      <w:r>
        <w:rPr>
          <w:rFonts w:ascii="Arial" w:hAnsi="Arial" w:cs="Arial"/>
          <w:sz w:val="24"/>
          <w:szCs w:val="24"/>
        </w:rPr>
        <w:t xml:space="preserve">would be partially offset by </w:t>
      </w:r>
      <w:r w:rsidR="004B133D">
        <w:rPr>
          <w:rFonts w:ascii="Arial" w:hAnsi="Arial" w:cs="Arial"/>
          <w:sz w:val="24"/>
          <w:szCs w:val="24"/>
        </w:rPr>
        <w:t xml:space="preserve">the </w:t>
      </w:r>
      <w:r>
        <w:rPr>
          <w:rFonts w:ascii="Arial" w:hAnsi="Arial" w:cs="Arial"/>
          <w:sz w:val="24"/>
          <w:szCs w:val="24"/>
        </w:rPr>
        <w:t>automatic increase</w:t>
      </w:r>
      <w:r w:rsidR="004B133D">
        <w:rPr>
          <w:rFonts w:ascii="Arial" w:hAnsi="Arial" w:cs="Arial"/>
          <w:sz w:val="24"/>
          <w:szCs w:val="24"/>
        </w:rPr>
        <w:t>s</w:t>
      </w:r>
      <w:r>
        <w:rPr>
          <w:rFonts w:ascii="Arial" w:hAnsi="Arial" w:cs="Arial"/>
          <w:sz w:val="24"/>
          <w:szCs w:val="24"/>
        </w:rPr>
        <w:t xml:space="preserve"> in the support needed to ensure schools still had a minimum per pupil funding of £4,600 per school</w:t>
      </w:r>
      <w:r w:rsidR="004B133D">
        <w:rPr>
          <w:rFonts w:ascii="Arial" w:hAnsi="Arial" w:cs="Arial"/>
          <w:sz w:val="24"/>
          <w:szCs w:val="24"/>
        </w:rPr>
        <w:t xml:space="preserve">: this </w:t>
      </w:r>
      <w:r>
        <w:rPr>
          <w:rFonts w:ascii="Arial" w:hAnsi="Arial" w:cs="Arial"/>
          <w:sz w:val="24"/>
          <w:szCs w:val="24"/>
        </w:rPr>
        <w:t>would utilise £0.120m of the saving. There are no capped gains so the only options for utilising the residual £0.501m would be to:</w:t>
      </w:r>
    </w:p>
    <w:p w:rsidRPr="004C22CA" w:rsidR="004C22CA" w:rsidP="00271D15" w:rsidRDefault="004C22CA">
      <w:pPr>
        <w:pStyle w:val="ListParagraph"/>
        <w:numPr>
          <w:ilvl w:val="0"/>
          <w:numId w:val="11"/>
        </w:numPr>
        <w:rPr>
          <w:rFonts w:ascii="Arial" w:hAnsi="Arial" w:cs="Arial"/>
          <w:sz w:val="24"/>
          <w:szCs w:val="24"/>
        </w:rPr>
      </w:pPr>
      <w:r w:rsidRPr="004C22CA">
        <w:rPr>
          <w:rFonts w:ascii="Arial" w:hAnsi="Arial" w:cs="Arial"/>
          <w:sz w:val="24"/>
          <w:szCs w:val="24"/>
        </w:rPr>
        <w:lastRenderedPageBreak/>
        <w:t>increas</w:t>
      </w:r>
      <w:r w:rsidR="00322988">
        <w:rPr>
          <w:rFonts w:ascii="Arial" w:hAnsi="Arial" w:cs="Arial"/>
          <w:sz w:val="24"/>
          <w:szCs w:val="24"/>
        </w:rPr>
        <w:t>e</w:t>
      </w:r>
      <w:r w:rsidRPr="004C22CA">
        <w:rPr>
          <w:rFonts w:ascii="Arial" w:hAnsi="Arial" w:cs="Arial"/>
          <w:sz w:val="24"/>
          <w:szCs w:val="24"/>
        </w:rPr>
        <w:t xml:space="preserve"> the minimum funding threshold above £4,600;</w:t>
      </w:r>
      <w:r>
        <w:rPr>
          <w:rFonts w:ascii="Arial" w:hAnsi="Arial" w:cs="Arial"/>
          <w:sz w:val="24"/>
          <w:szCs w:val="24"/>
        </w:rPr>
        <w:t xml:space="preserve"> </w:t>
      </w:r>
      <w:r w:rsidRPr="004C22CA">
        <w:rPr>
          <w:rFonts w:ascii="Arial" w:hAnsi="Arial" w:cs="Arial"/>
          <w:sz w:val="24"/>
          <w:szCs w:val="24"/>
        </w:rPr>
        <w:t>and/or</w:t>
      </w:r>
    </w:p>
    <w:p w:rsidRPr="004C22CA" w:rsidR="004C22CA" w:rsidP="004C22CA" w:rsidRDefault="00322988">
      <w:pPr>
        <w:pStyle w:val="ListParagraph"/>
        <w:numPr>
          <w:ilvl w:val="0"/>
          <w:numId w:val="11"/>
        </w:numPr>
        <w:rPr>
          <w:rFonts w:ascii="Arial" w:hAnsi="Arial" w:cs="Arial"/>
          <w:sz w:val="24"/>
          <w:szCs w:val="24"/>
        </w:rPr>
      </w:pPr>
      <w:r>
        <w:rPr>
          <w:rFonts w:ascii="Arial" w:hAnsi="Arial" w:cs="Arial"/>
          <w:sz w:val="24"/>
          <w:szCs w:val="24"/>
        </w:rPr>
        <w:t>Increase</w:t>
      </w:r>
      <w:r w:rsidR="004C22CA">
        <w:rPr>
          <w:rFonts w:ascii="Arial" w:hAnsi="Arial" w:cs="Arial"/>
          <w:sz w:val="24"/>
          <w:szCs w:val="24"/>
        </w:rPr>
        <w:t xml:space="preserve"> one or </w:t>
      </w:r>
      <w:r>
        <w:rPr>
          <w:rFonts w:ascii="Arial" w:hAnsi="Arial" w:cs="Arial"/>
          <w:sz w:val="24"/>
          <w:szCs w:val="24"/>
        </w:rPr>
        <w:t xml:space="preserve">more of the formula </w:t>
      </w:r>
      <w:r w:rsidR="004C22CA">
        <w:rPr>
          <w:rFonts w:ascii="Arial" w:hAnsi="Arial" w:cs="Arial"/>
          <w:sz w:val="24"/>
          <w:szCs w:val="24"/>
        </w:rPr>
        <w:t>multipliers to a level above the NFF.</w:t>
      </w:r>
    </w:p>
    <w:p w:rsidR="004C22CA" w:rsidP="00A85DC7" w:rsidRDefault="004C22CA">
      <w:pPr>
        <w:rPr>
          <w:rFonts w:ascii="Arial" w:hAnsi="Arial" w:cs="Arial"/>
          <w:sz w:val="24"/>
          <w:szCs w:val="24"/>
        </w:rPr>
      </w:pPr>
    </w:p>
    <w:p w:rsidR="001361FB" w:rsidP="00A85DC7" w:rsidRDefault="001361FB">
      <w:pPr>
        <w:rPr>
          <w:rFonts w:ascii="Arial" w:hAnsi="Arial" w:cs="Arial"/>
          <w:sz w:val="24"/>
          <w:szCs w:val="24"/>
        </w:rPr>
      </w:pPr>
      <w:r>
        <w:rPr>
          <w:rFonts w:ascii="Arial" w:hAnsi="Arial" w:cs="Arial"/>
          <w:sz w:val="24"/>
          <w:szCs w:val="24"/>
        </w:rPr>
        <w:t xml:space="preserve">On balance the </w:t>
      </w:r>
      <w:r w:rsidR="00322988">
        <w:rPr>
          <w:rFonts w:ascii="Arial" w:hAnsi="Arial" w:cs="Arial"/>
          <w:sz w:val="24"/>
          <w:szCs w:val="24"/>
        </w:rPr>
        <w:t xml:space="preserve">LA’s </w:t>
      </w:r>
      <w:r w:rsidR="004C22CA">
        <w:rPr>
          <w:rFonts w:ascii="Arial" w:hAnsi="Arial" w:cs="Arial"/>
          <w:sz w:val="24"/>
          <w:szCs w:val="24"/>
        </w:rPr>
        <w:t xml:space="preserve">preferred </w:t>
      </w:r>
      <w:r>
        <w:rPr>
          <w:rFonts w:ascii="Arial" w:hAnsi="Arial" w:cs="Arial"/>
          <w:sz w:val="24"/>
          <w:szCs w:val="24"/>
        </w:rPr>
        <w:t xml:space="preserve">option </w:t>
      </w:r>
      <w:r w:rsidR="004C22CA">
        <w:rPr>
          <w:rFonts w:ascii="Arial" w:hAnsi="Arial" w:cs="Arial"/>
          <w:sz w:val="24"/>
          <w:szCs w:val="24"/>
        </w:rPr>
        <w:t xml:space="preserve">is </w:t>
      </w:r>
      <w:r w:rsidR="00322988">
        <w:rPr>
          <w:rFonts w:ascii="Arial" w:hAnsi="Arial" w:cs="Arial"/>
          <w:sz w:val="24"/>
          <w:szCs w:val="24"/>
        </w:rPr>
        <w:t xml:space="preserve">to </w:t>
      </w:r>
      <w:r w:rsidR="004C22CA">
        <w:rPr>
          <w:rFonts w:ascii="Arial" w:hAnsi="Arial" w:cs="Arial"/>
          <w:sz w:val="24"/>
          <w:szCs w:val="24"/>
        </w:rPr>
        <w:t xml:space="preserve">set the MFG at the maximum rate as this would ensure that all schools </w:t>
      </w:r>
      <w:r w:rsidR="00D10D25">
        <w:rPr>
          <w:rFonts w:ascii="Arial" w:hAnsi="Arial" w:cs="Arial"/>
          <w:sz w:val="24"/>
          <w:szCs w:val="24"/>
        </w:rPr>
        <w:t xml:space="preserve">receive </w:t>
      </w:r>
      <w:r w:rsidR="004C22CA">
        <w:rPr>
          <w:rFonts w:ascii="Arial" w:hAnsi="Arial" w:cs="Arial"/>
          <w:sz w:val="24"/>
          <w:szCs w:val="24"/>
        </w:rPr>
        <w:t>an increase to help with future cost pressures</w:t>
      </w:r>
      <w:r w:rsidR="00322988">
        <w:rPr>
          <w:rFonts w:ascii="Arial" w:hAnsi="Arial" w:cs="Arial"/>
          <w:sz w:val="24"/>
          <w:szCs w:val="24"/>
        </w:rPr>
        <w:t xml:space="preserve">, </w:t>
      </w:r>
      <w:r w:rsidR="00D10D25">
        <w:rPr>
          <w:rFonts w:ascii="Arial" w:hAnsi="Arial" w:cs="Arial"/>
          <w:sz w:val="24"/>
          <w:szCs w:val="24"/>
        </w:rPr>
        <w:t>rather than allowing other schools to receive higher gains.</w:t>
      </w:r>
    </w:p>
    <w:p w:rsidR="00271D15" w:rsidP="00A85DC7" w:rsidRDefault="00271D15">
      <w:pPr>
        <w:rPr>
          <w:rFonts w:ascii="Arial" w:hAnsi="Arial" w:cs="Arial"/>
          <w:sz w:val="24"/>
          <w:szCs w:val="24"/>
        </w:rPr>
      </w:pPr>
    </w:p>
    <w:p w:rsidR="00B16390" w:rsidP="00A85DC7" w:rsidRDefault="00B16390">
      <w:pPr>
        <w:rPr>
          <w:rFonts w:ascii="Arial" w:hAnsi="Arial" w:cs="Arial"/>
          <w:b/>
          <w:sz w:val="24"/>
          <w:szCs w:val="24"/>
        </w:rPr>
      </w:pPr>
      <w:r>
        <w:rPr>
          <w:rFonts w:ascii="Arial" w:hAnsi="Arial" w:cs="Arial"/>
          <w:b/>
          <w:sz w:val="24"/>
          <w:szCs w:val="24"/>
        </w:rPr>
        <w:t>3.</w:t>
      </w:r>
      <w:r>
        <w:rPr>
          <w:rFonts w:ascii="Arial" w:hAnsi="Arial" w:cs="Arial"/>
          <w:b/>
          <w:sz w:val="24"/>
          <w:szCs w:val="24"/>
        </w:rPr>
        <w:tab/>
      </w:r>
      <w:r w:rsidRPr="00B16390">
        <w:rPr>
          <w:rFonts w:ascii="Arial" w:hAnsi="Arial" w:cs="Arial"/>
          <w:b/>
          <w:sz w:val="24"/>
          <w:szCs w:val="24"/>
          <w:u w:val="single"/>
        </w:rPr>
        <w:t>Other matters to consider</w:t>
      </w:r>
    </w:p>
    <w:p w:rsidR="00B16390" w:rsidP="00A85DC7" w:rsidRDefault="00B16390">
      <w:pPr>
        <w:rPr>
          <w:rFonts w:ascii="Arial" w:hAnsi="Arial" w:cs="Arial"/>
          <w:b/>
          <w:sz w:val="24"/>
          <w:szCs w:val="24"/>
        </w:rPr>
      </w:pPr>
    </w:p>
    <w:p w:rsidR="00B16390" w:rsidP="00A85DC7" w:rsidRDefault="00034FEF">
      <w:pPr>
        <w:rPr>
          <w:rFonts w:ascii="Arial" w:hAnsi="Arial" w:cs="Arial"/>
          <w:b/>
          <w:sz w:val="24"/>
          <w:szCs w:val="24"/>
        </w:rPr>
      </w:pPr>
      <w:r>
        <w:rPr>
          <w:rFonts w:ascii="Arial" w:hAnsi="Arial" w:cs="Arial"/>
          <w:b/>
          <w:sz w:val="24"/>
          <w:szCs w:val="24"/>
        </w:rPr>
        <w:t>3.1</w:t>
      </w:r>
      <w:r>
        <w:rPr>
          <w:rFonts w:ascii="Arial" w:hAnsi="Arial" w:cs="Arial"/>
          <w:b/>
          <w:sz w:val="24"/>
          <w:szCs w:val="24"/>
        </w:rPr>
        <w:tab/>
      </w:r>
      <w:r w:rsidRPr="00034FEF" w:rsidR="00B16390">
        <w:rPr>
          <w:rFonts w:ascii="Arial" w:hAnsi="Arial" w:cs="Arial"/>
          <w:b/>
          <w:sz w:val="24"/>
          <w:szCs w:val="24"/>
          <w:u w:val="single"/>
        </w:rPr>
        <w:t>Schools Block transfer to other blocks</w:t>
      </w:r>
      <w:r w:rsidRPr="00034FEF" w:rsidR="00805F59">
        <w:rPr>
          <w:rFonts w:ascii="Arial" w:hAnsi="Arial" w:cs="Arial"/>
          <w:b/>
          <w:sz w:val="24"/>
          <w:szCs w:val="24"/>
          <w:u w:val="single"/>
        </w:rPr>
        <w:t>.</w:t>
      </w:r>
    </w:p>
    <w:p w:rsidR="00034FEF" w:rsidP="00A85DC7" w:rsidRDefault="00034FEF">
      <w:pPr>
        <w:rPr>
          <w:rFonts w:ascii="Arial" w:hAnsi="Arial" w:cs="Arial"/>
          <w:b/>
          <w:sz w:val="24"/>
          <w:szCs w:val="24"/>
        </w:rPr>
      </w:pPr>
    </w:p>
    <w:p w:rsidRPr="00912ECC" w:rsidR="00912ECC" w:rsidP="00912ECC" w:rsidRDefault="00912ECC">
      <w:pPr>
        <w:rPr>
          <w:rFonts w:ascii="Arial" w:hAnsi="Arial" w:cs="Arial"/>
          <w:sz w:val="24"/>
          <w:szCs w:val="24"/>
        </w:rPr>
      </w:pPr>
      <w:r>
        <w:rPr>
          <w:rFonts w:ascii="Arial" w:hAnsi="Arial" w:cs="Arial"/>
          <w:sz w:val="24"/>
          <w:szCs w:val="24"/>
        </w:rPr>
        <w:t>The S</w:t>
      </w:r>
      <w:r w:rsidRPr="00912ECC">
        <w:rPr>
          <w:rFonts w:ascii="Arial" w:hAnsi="Arial" w:cs="Arial"/>
          <w:sz w:val="24"/>
          <w:szCs w:val="24"/>
        </w:rPr>
        <w:t xml:space="preserve">chools </w:t>
      </w:r>
      <w:r>
        <w:rPr>
          <w:rFonts w:ascii="Arial" w:hAnsi="Arial" w:cs="Arial"/>
          <w:sz w:val="24"/>
          <w:szCs w:val="24"/>
        </w:rPr>
        <w:t>B</w:t>
      </w:r>
      <w:r w:rsidRPr="00912ECC">
        <w:rPr>
          <w:rFonts w:ascii="Arial" w:hAnsi="Arial" w:cs="Arial"/>
          <w:sz w:val="24"/>
          <w:szCs w:val="24"/>
        </w:rPr>
        <w:t xml:space="preserve">lock will be ring-fenced from 2018-19. This means that the vast majority of </w:t>
      </w:r>
      <w:r>
        <w:rPr>
          <w:rFonts w:ascii="Arial" w:hAnsi="Arial" w:cs="Arial"/>
          <w:sz w:val="24"/>
          <w:szCs w:val="24"/>
        </w:rPr>
        <w:t>S</w:t>
      </w:r>
      <w:r w:rsidRPr="00912ECC">
        <w:rPr>
          <w:rFonts w:ascii="Arial" w:hAnsi="Arial" w:cs="Arial"/>
          <w:sz w:val="24"/>
          <w:szCs w:val="24"/>
        </w:rPr>
        <w:t xml:space="preserve">chools </w:t>
      </w:r>
      <w:r>
        <w:rPr>
          <w:rFonts w:ascii="Arial" w:hAnsi="Arial" w:cs="Arial"/>
          <w:sz w:val="24"/>
          <w:szCs w:val="24"/>
        </w:rPr>
        <w:t>B</w:t>
      </w:r>
      <w:r w:rsidRPr="00912ECC">
        <w:rPr>
          <w:rFonts w:ascii="Arial" w:hAnsi="Arial" w:cs="Arial"/>
          <w:sz w:val="24"/>
          <w:szCs w:val="24"/>
        </w:rPr>
        <w:t xml:space="preserve">lock funding allocated to local authorities must be passed directly to schools. </w:t>
      </w:r>
      <w:r>
        <w:rPr>
          <w:rFonts w:ascii="Arial" w:hAnsi="Arial" w:cs="Arial"/>
          <w:sz w:val="24"/>
          <w:szCs w:val="24"/>
        </w:rPr>
        <w:t xml:space="preserve">However, </w:t>
      </w:r>
      <w:r w:rsidRPr="00912ECC">
        <w:rPr>
          <w:rFonts w:ascii="Arial" w:hAnsi="Arial" w:cs="Arial"/>
          <w:sz w:val="24"/>
          <w:szCs w:val="24"/>
        </w:rPr>
        <w:t xml:space="preserve">local authorities will have limited flexibility to transfer funding to other areas, such as </w:t>
      </w:r>
      <w:r>
        <w:rPr>
          <w:rFonts w:ascii="Arial" w:hAnsi="Arial" w:cs="Arial"/>
          <w:sz w:val="24"/>
          <w:szCs w:val="24"/>
        </w:rPr>
        <w:t>the H</w:t>
      </w:r>
      <w:r w:rsidRPr="00912ECC">
        <w:rPr>
          <w:rFonts w:ascii="Arial" w:hAnsi="Arial" w:cs="Arial"/>
          <w:sz w:val="24"/>
          <w:szCs w:val="24"/>
        </w:rPr>
        <w:t xml:space="preserve">igh </w:t>
      </w:r>
      <w:r>
        <w:rPr>
          <w:rFonts w:ascii="Arial" w:hAnsi="Arial" w:cs="Arial"/>
          <w:sz w:val="24"/>
          <w:szCs w:val="24"/>
        </w:rPr>
        <w:t>N</w:t>
      </w:r>
      <w:r w:rsidRPr="00912ECC">
        <w:rPr>
          <w:rFonts w:ascii="Arial" w:hAnsi="Arial" w:cs="Arial"/>
          <w:sz w:val="24"/>
          <w:szCs w:val="24"/>
        </w:rPr>
        <w:t>eeds</w:t>
      </w:r>
      <w:r>
        <w:rPr>
          <w:rFonts w:ascii="Arial" w:hAnsi="Arial" w:cs="Arial"/>
          <w:sz w:val="24"/>
          <w:szCs w:val="24"/>
        </w:rPr>
        <w:t xml:space="preserve"> Block</w:t>
      </w:r>
      <w:r w:rsidRPr="00912ECC">
        <w:rPr>
          <w:rFonts w:ascii="Arial" w:hAnsi="Arial" w:cs="Arial"/>
          <w:sz w:val="24"/>
          <w:szCs w:val="24"/>
        </w:rPr>
        <w:t xml:space="preserve">, where this best matches local circumstances. Such transfers are limited to 0.5% of </w:t>
      </w:r>
      <w:r>
        <w:rPr>
          <w:rFonts w:ascii="Arial" w:hAnsi="Arial" w:cs="Arial"/>
          <w:sz w:val="24"/>
          <w:szCs w:val="24"/>
        </w:rPr>
        <w:t>an a</w:t>
      </w:r>
      <w:r w:rsidRPr="00912ECC">
        <w:rPr>
          <w:rFonts w:ascii="Arial" w:hAnsi="Arial" w:cs="Arial"/>
          <w:sz w:val="24"/>
          <w:szCs w:val="24"/>
        </w:rPr>
        <w:t>uthorit</w:t>
      </w:r>
      <w:r>
        <w:rPr>
          <w:rFonts w:ascii="Arial" w:hAnsi="Arial" w:cs="Arial"/>
          <w:sz w:val="24"/>
          <w:szCs w:val="24"/>
        </w:rPr>
        <w:t xml:space="preserve">y’s </w:t>
      </w:r>
      <w:r w:rsidRPr="00912ECC">
        <w:rPr>
          <w:rFonts w:ascii="Arial" w:hAnsi="Arial" w:cs="Arial"/>
          <w:sz w:val="24"/>
          <w:szCs w:val="24"/>
        </w:rPr>
        <w:t xml:space="preserve">total </w:t>
      </w:r>
      <w:r>
        <w:rPr>
          <w:rFonts w:ascii="Arial" w:hAnsi="Arial" w:cs="Arial"/>
          <w:sz w:val="24"/>
          <w:szCs w:val="24"/>
        </w:rPr>
        <w:t>S</w:t>
      </w:r>
      <w:r w:rsidRPr="00912ECC">
        <w:rPr>
          <w:rFonts w:ascii="Arial" w:hAnsi="Arial" w:cs="Arial"/>
          <w:sz w:val="24"/>
          <w:szCs w:val="24"/>
        </w:rPr>
        <w:t xml:space="preserve">chools </w:t>
      </w:r>
      <w:r>
        <w:rPr>
          <w:rFonts w:ascii="Arial" w:hAnsi="Arial" w:cs="Arial"/>
          <w:sz w:val="24"/>
          <w:szCs w:val="24"/>
        </w:rPr>
        <w:t>B</w:t>
      </w:r>
      <w:r w:rsidRPr="00912ECC">
        <w:rPr>
          <w:rFonts w:ascii="Arial" w:hAnsi="Arial" w:cs="Arial"/>
          <w:sz w:val="24"/>
          <w:szCs w:val="24"/>
        </w:rPr>
        <w:t>lock</w:t>
      </w:r>
      <w:r>
        <w:rPr>
          <w:rFonts w:ascii="Arial" w:hAnsi="Arial" w:cs="Arial"/>
          <w:sz w:val="24"/>
          <w:szCs w:val="24"/>
        </w:rPr>
        <w:t xml:space="preserve"> – around £2m in the case of Derbyshire - </w:t>
      </w:r>
      <w:r w:rsidRPr="00912ECC">
        <w:rPr>
          <w:rFonts w:ascii="Arial" w:hAnsi="Arial" w:cs="Arial"/>
          <w:sz w:val="24"/>
          <w:szCs w:val="24"/>
        </w:rPr>
        <w:t xml:space="preserve">and can only be made with the agreement of the </w:t>
      </w:r>
      <w:r>
        <w:rPr>
          <w:rFonts w:ascii="Arial" w:hAnsi="Arial" w:cs="Arial"/>
          <w:sz w:val="24"/>
          <w:szCs w:val="24"/>
        </w:rPr>
        <w:t>S</w:t>
      </w:r>
      <w:r w:rsidRPr="00912ECC">
        <w:rPr>
          <w:rFonts w:ascii="Arial" w:hAnsi="Arial" w:cs="Arial"/>
          <w:sz w:val="24"/>
          <w:szCs w:val="24"/>
        </w:rPr>
        <w:t xml:space="preserve">chools </w:t>
      </w:r>
      <w:r>
        <w:rPr>
          <w:rFonts w:ascii="Arial" w:hAnsi="Arial" w:cs="Arial"/>
          <w:sz w:val="24"/>
          <w:szCs w:val="24"/>
        </w:rPr>
        <w:t>F</w:t>
      </w:r>
      <w:r w:rsidRPr="00912ECC">
        <w:rPr>
          <w:rFonts w:ascii="Arial" w:hAnsi="Arial" w:cs="Arial"/>
          <w:sz w:val="24"/>
          <w:szCs w:val="24"/>
        </w:rPr>
        <w:t xml:space="preserve">orum. </w:t>
      </w:r>
      <w:r>
        <w:rPr>
          <w:rFonts w:ascii="Arial" w:hAnsi="Arial" w:cs="Arial"/>
          <w:sz w:val="24"/>
          <w:szCs w:val="24"/>
        </w:rPr>
        <w:t xml:space="preserve"> </w:t>
      </w:r>
      <w:r w:rsidR="008E4F96">
        <w:rPr>
          <w:rFonts w:ascii="Arial" w:hAnsi="Arial" w:cs="Arial"/>
          <w:sz w:val="24"/>
          <w:szCs w:val="24"/>
        </w:rPr>
        <w:t xml:space="preserve">The DfE’s guidance goes further: </w:t>
      </w:r>
      <w:r w:rsidRPr="008E4F96" w:rsidR="008E4F96">
        <w:rPr>
          <w:rFonts w:ascii="Arial" w:hAnsi="Arial" w:cs="Arial"/>
          <w:i/>
          <w:sz w:val="24"/>
          <w:szCs w:val="24"/>
        </w:rPr>
        <w:t>“</w:t>
      </w:r>
      <w:r w:rsidRPr="008E4F96">
        <w:rPr>
          <w:rFonts w:ascii="Arial" w:hAnsi="Arial" w:cs="Arial"/>
          <w:i/>
          <w:sz w:val="24"/>
          <w:szCs w:val="24"/>
        </w:rPr>
        <w:t xml:space="preserve">LAs wishing to transfer funding will be expected to demonstrate to their Schools Forum that they have consulted locally with all maintained schools and academies. Local authorities should set out clearly the reasons for </w:t>
      </w:r>
      <w:r w:rsidRPr="008E4F96" w:rsidR="00C877B5">
        <w:rPr>
          <w:rFonts w:ascii="Arial" w:hAnsi="Arial" w:cs="Arial"/>
          <w:i/>
          <w:sz w:val="24"/>
          <w:szCs w:val="24"/>
        </w:rPr>
        <w:t xml:space="preserve">any </w:t>
      </w:r>
      <w:r w:rsidRPr="008E4F96">
        <w:rPr>
          <w:rFonts w:ascii="Arial" w:hAnsi="Arial" w:cs="Arial"/>
          <w:i/>
          <w:sz w:val="24"/>
          <w:szCs w:val="24"/>
        </w:rPr>
        <w:t>transfer and, if the transfer is to their High Needs budget, how it sits with the local authority’s long-term planning for provision for children and young people with SEN and disabilities.</w:t>
      </w:r>
      <w:r w:rsidRPr="008E4F96" w:rsidR="008E4F96">
        <w:rPr>
          <w:rFonts w:ascii="Arial" w:hAnsi="Arial" w:cs="Arial"/>
          <w:i/>
          <w:sz w:val="24"/>
          <w:szCs w:val="24"/>
        </w:rPr>
        <w:t>”</w:t>
      </w:r>
      <w:r w:rsidRPr="00912ECC">
        <w:rPr>
          <w:rFonts w:ascii="Arial" w:hAnsi="Arial" w:cs="Arial"/>
          <w:sz w:val="24"/>
          <w:szCs w:val="24"/>
        </w:rPr>
        <w:t xml:space="preserve"> </w:t>
      </w:r>
    </w:p>
    <w:p w:rsidR="00912ECC" w:rsidP="00A85DC7" w:rsidRDefault="00912ECC">
      <w:pPr>
        <w:rPr>
          <w:rFonts w:ascii="Arial" w:hAnsi="Arial" w:cs="Arial"/>
          <w:sz w:val="24"/>
          <w:szCs w:val="24"/>
        </w:rPr>
      </w:pPr>
    </w:p>
    <w:p w:rsidR="00912ECC" w:rsidP="00A85DC7" w:rsidRDefault="00912ECC">
      <w:pPr>
        <w:rPr>
          <w:rFonts w:ascii="Arial" w:hAnsi="Arial" w:cs="Arial"/>
          <w:sz w:val="24"/>
          <w:szCs w:val="24"/>
        </w:rPr>
      </w:pPr>
      <w:r>
        <w:rPr>
          <w:rFonts w:ascii="Arial" w:hAnsi="Arial" w:cs="Arial"/>
          <w:sz w:val="24"/>
          <w:szCs w:val="24"/>
        </w:rPr>
        <w:t xml:space="preserve">Despite </w:t>
      </w:r>
      <w:r w:rsidR="004B133D">
        <w:rPr>
          <w:rFonts w:ascii="Arial" w:hAnsi="Arial" w:cs="Arial"/>
          <w:sz w:val="24"/>
          <w:szCs w:val="24"/>
        </w:rPr>
        <w:t xml:space="preserve">the pressures facing the </w:t>
      </w:r>
      <w:r>
        <w:rPr>
          <w:rFonts w:ascii="Arial" w:hAnsi="Arial" w:cs="Arial"/>
          <w:sz w:val="24"/>
          <w:szCs w:val="24"/>
        </w:rPr>
        <w:t>High Needs Block</w:t>
      </w:r>
      <w:r w:rsidR="0033046E">
        <w:rPr>
          <w:rFonts w:ascii="Arial" w:hAnsi="Arial" w:cs="Arial"/>
          <w:sz w:val="24"/>
          <w:szCs w:val="24"/>
        </w:rPr>
        <w:t xml:space="preserve">, </w:t>
      </w:r>
      <w:r>
        <w:rPr>
          <w:rFonts w:ascii="Arial" w:hAnsi="Arial" w:cs="Arial"/>
          <w:sz w:val="24"/>
          <w:szCs w:val="24"/>
        </w:rPr>
        <w:t>Derbyshire does not propose to make any application to transfer funding for 2018-19. The Authority is undertaking a thorough r</w:t>
      </w:r>
      <w:r w:rsidR="00890E62">
        <w:rPr>
          <w:rFonts w:ascii="Arial" w:hAnsi="Arial" w:cs="Arial"/>
          <w:sz w:val="24"/>
          <w:szCs w:val="24"/>
        </w:rPr>
        <w:t xml:space="preserve">eview of its high needs budgets </w:t>
      </w:r>
      <w:r w:rsidR="0033046E">
        <w:rPr>
          <w:rFonts w:ascii="Arial" w:hAnsi="Arial" w:cs="Arial"/>
          <w:sz w:val="24"/>
          <w:szCs w:val="24"/>
        </w:rPr>
        <w:t xml:space="preserve">and spending </w:t>
      </w:r>
      <w:r w:rsidR="00890E62">
        <w:rPr>
          <w:rFonts w:ascii="Arial" w:hAnsi="Arial" w:cs="Arial"/>
          <w:sz w:val="24"/>
          <w:szCs w:val="24"/>
        </w:rPr>
        <w:t xml:space="preserve">and this work is expected to be completed </w:t>
      </w:r>
      <w:r w:rsidR="00271D15">
        <w:rPr>
          <w:rFonts w:ascii="Arial" w:hAnsi="Arial" w:cs="Arial"/>
          <w:sz w:val="24"/>
          <w:szCs w:val="24"/>
        </w:rPr>
        <w:t xml:space="preserve">in </w:t>
      </w:r>
      <w:r w:rsidR="00890E62">
        <w:rPr>
          <w:rFonts w:ascii="Arial" w:hAnsi="Arial" w:cs="Arial"/>
          <w:sz w:val="24"/>
          <w:szCs w:val="24"/>
        </w:rPr>
        <w:t>2018. Should this review identify a strong case for additional investment in the high needs block</w:t>
      </w:r>
      <w:r w:rsidR="0033046E">
        <w:rPr>
          <w:rFonts w:ascii="Arial" w:hAnsi="Arial" w:cs="Arial"/>
          <w:sz w:val="24"/>
          <w:szCs w:val="24"/>
        </w:rPr>
        <w:t xml:space="preserve">, </w:t>
      </w:r>
      <w:r w:rsidR="00890E62">
        <w:rPr>
          <w:rFonts w:ascii="Arial" w:hAnsi="Arial" w:cs="Arial"/>
          <w:sz w:val="24"/>
          <w:szCs w:val="24"/>
        </w:rPr>
        <w:t xml:space="preserve">schools and academies </w:t>
      </w:r>
      <w:r w:rsidR="0033046E">
        <w:rPr>
          <w:rFonts w:ascii="Arial" w:hAnsi="Arial" w:cs="Arial"/>
          <w:sz w:val="24"/>
          <w:szCs w:val="24"/>
        </w:rPr>
        <w:t xml:space="preserve">would </w:t>
      </w:r>
      <w:r w:rsidR="00890E62">
        <w:rPr>
          <w:rFonts w:ascii="Arial" w:hAnsi="Arial" w:cs="Arial"/>
          <w:sz w:val="24"/>
          <w:szCs w:val="24"/>
        </w:rPr>
        <w:t xml:space="preserve">be consulted on any proposals </w:t>
      </w:r>
      <w:r w:rsidR="004B133D">
        <w:rPr>
          <w:rFonts w:ascii="Arial" w:hAnsi="Arial" w:cs="Arial"/>
          <w:sz w:val="24"/>
          <w:szCs w:val="24"/>
        </w:rPr>
        <w:t xml:space="preserve">to transfer resources for 2019-20 </w:t>
      </w:r>
      <w:r w:rsidR="0098050E">
        <w:rPr>
          <w:rFonts w:ascii="Arial" w:hAnsi="Arial" w:cs="Arial"/>
          <w:sz w:val="24"/>
          <w:szCs w:val="24"/>
        </w:rPr>
        <w:t>i</w:t>
      </w:r>
      <w:r w:rsidR="00890E62">
        <w:rPr>
          <w:rFonts w:ascii="Arial" w:hAnsi="Arial" w:cs="Arial"/>
          <w:sz w:val="24"/>
          <w:szCs w:val="24"/>
        </w:rPr>
        <w:t xml:space="preserve">n the autumn term 2018. If schools and the Schools Forum were to agree to support a transfer of resources this would of course mean that one or more of the NFF multipliers would have to be reduced </w:t>
      </w:r>
      <w:r w:rsidR="008E4F96">
        <w:rPr>
          <w:rFonts w:ascii="Arial" w:hAnsi="Arial" w:cs="Arial"/>
          <w:sz w:val="24"/>
          <w:szCs w:val="24"/>
        </w:rPr>
        <w:t>for 2019-20</w:t>
      </w:r>
      <w:r w:rsidR="00890E62">
        <w:rPr>
          <w:rFonts w:ascii="Arial" w:hAnsi="Arial" w:cs="Arial"/>
          <w:sz w:val="24"/>
          <w:szCs w:val="24"/>
        </w:rPr>
        <w:t>.</w:t>
      </w:r>
      <w:r w:rsidR="006B20B9">
        <w:rPr>
          <w:rFonts w:ascii="Arial" w:hAnsi="Arial" w:cs="Arial"/>
          <w:sz w:val="24"/>
          <w:szCs w:val="24"/>
        </w:rPr>
        <w:t xml:space="preserve"> As n</w:t>
      </w:r>
      <w:r w:rsidR="00890E62">
        <w:rPr>
          <w:rFonts w:ascii="Arial" w:hAnsi="Arial" w:cs="Arial"/>
          <w:sz w:val="24"/>
          <w:szCs w:val="24"/>
        </w:rPr>
        <w:t xml:space="preserve">o transfer of resources is planned for 2018-19, </w:t>
      </w:r>
      <w:r>
        <w:rPr>
          <w:rFonts w:ascii="Arial" w:hAnsi="Arial" w:cs="Arial"/>
          <w:sz w:val="24"/>
          <w:szCs w:val="24"/>
        </w:rPr>
        <w:t xml:space="preserve">the Authority will </w:t>
      </w:r>
      <w:r w:rsidR="004B133D">
        <w:rPr>
          <w:rFonts w:ascii="Arial" w:hAnsi="Arial" w:cs="Arial"/>
          <w:sz w:val="24"/>
          <w:szCs w:val="24"/>
        </w:rPr>
        <w:t xml:space="preserve">instead </w:t>
      </w:r>
      <w:r w:rsidR="006B20B9">
        <w:rPr>
          <w:rFonts w:ascii="Arial" w:hAnsi="Arial" w:cs="Arial"/>
          <w:sz w:val="24"/>
          <w:szCs w:val="24"/>
        </w:rPr>
        <w:t xml:space="preserve">have to </w:t>
      </w:r>
      <w:r>
        <w:rPr>
          <w:rFonts w:ascii="Arial" w:hAnsi="Arial" w:cs="Arial"/>
          <w:sz w:val="24"/>
          <w:szCs w:val="24"/>
        </w:rPr>
        <w:t xml:space="preserve">meet </w:t>
      </w:r>
      <w:r w:rsidR="008E4F96">
        <w:rPr>
          <w:rFonts w:ascii="Arial" w:hAnsi="Arial" w:cs="Arial"/>
          <w:sz w:val="24"/>
          <w:szCs w:val="24"/>
        </w:rPr>
        <w:t xml:space="preserve">any </w:t>
      </w:r>
      <w:r w:rsidR="00890E62">
        <w:rPr>
          <w:rFonts w:ascii="Arial" w:hAnsi="Arial" w:cs="Arial"/>
          <w:sz w:val="24"/>
          <w:szCs w:val="24"/>
        </w:rPr>
        <w:t xml:space="preserve">pressures </w:t>
      </w:r>
      <w:r>
        <w:rPr>
          <w:rFonts w:ascii="Arial" w:hAnsi="Arial" w:cs="Arial"/>
          <w:sz w:val="24"/>
          <w:szCs w:val="24"/>
        </w:rPr>
        <w:t>from its uncommitted DSG reserves.</w:t>
      </w:r>
    </w:p>
    <w:p w:rsidR="006B20B9" w:rsidP="00A85DC7" w:rsidRDefault="006B20B9">
      <w:pPr>
        <w:rPr>
          <w:rFonts w:ascii="Arial" w:hAnsi="Arial" w:cs="Arial"/>
          <w:b/>
          <w:sz w:val="24"/>
          <w:szCs w:val="24"/>
        </w:rPr>
      </w:pPr>
    </w:p>
    <w:p w:rsidR="00B16390" w:rsidP="00A85DC7" w:rsidRDefault="00890E62">
      <w:pPr>
        <w:rPr>
          <w:rFonts w:ascii="Arial" w:hAnsi="Arial" w:cs="Arial"/>
          <w:b/>
          <w:sz w:val="24"/>
          <w:szCs w:val="24"/>
        </w:rPr>
      </w:pPr>
      <w:r>
        <w:rPr>
          <w:rFonts w:ascii="Arial" w:hAnsi="Arial" w:cs="Arial"/>
          <w:b/>
          <w:sz w:val="24"/>
          <w:szCs w:val="24"/>
        </w:rPr>
        <w:t>3.2</w:t>
      </w:r>
      <w:r>
        <w:rPr>
          <w:rFonts w:ascii="Arial" w:hAnsi="Arial" w:cs="Arial"/>
          <w:b/>
          <w:sz w:val="24"/>
          <w:szCs w:val="24"/>
        </w:rPr>
        <w:tab/>
      </w:r>
      <w:r w:rsidRPr="00890E62" w:rsidR="00B16390">
        <w:rPr>
          <w:rFonts w:ascii="Arial" w:hAnsi="Arial" w:cs="Arial"/>
          <w:b/>
          <w:sz w:val="24"/>
          <w:szCs w:val="24"/>
          <w:u w:val="single"/>
        </w:rPr>
        <w:t>Growth fund</w:t>
      </w:r>
      <w:r w:rsidR="008E2AF0">
        <w:rPr>
          <w:rFonts w:ascii="Arial" w:hAnsi="Arial" w:cs="Arial"/>
          <w:b/>
          <w:sz w:val="24"/>
          <w:szCs w:val="24"/>
          <w:u w:val="single"/>
        </w:rPr>
        <w:t xml:space="preserve"> – existing schools</w:t>
      </w:r>
    </w:p>
    <w:p w:rsidRPr="00890E62" w:rsidR="00034FEF" w:rsidP="00A85DC7" w:rsidRDefault="00034FEF">
      <w:pPr>
        <w:rPr>
          <w:rFonts w:ascii="Arial" w:hAnsi="Arial" w:cs="Arial"/>
          <w:sz w:val="24"/>
          <w:szCs w:val="24"/>
        </w:rPr>
      </w:pPr>
    </w:p>
    <w:p w:rsidR="00D50432" w:rsidP="00A85DC7" w:rsidRDefault="00C91CE6">
      <w:pPr>
        <w:rPr>
          <w:rFonts w:ascii="Arial" w:hAnsi="Arial" w:cs="Arial"/>
          <w:sz w:val="24"/>
          <w:szCs w:val="24"/>
        </w:rPr>
      </w:pPr>
      <w:r w:rsidRPr="00D50432">
        <w:rPr>
          <w:rFonts w:ascii="Arial" w:hAnsi="Arial" w:cs="Arial"/>
          <w:sz w:val="24"/>
          <w:szCs w:val="24"/>
        </w:rPr>
        <w:t xml:space="preserve">In 2018-19 funding will be allocated </w:t>
      </w:r>
      <w:r w:rsidRPr="00D50432" w:rsidR="00AF1D01">
        <w:rPr>
          <w:rFonts w:ascii="Arial" w:hAnsi="Arial" w:cs="Arial"/>
          <w:sz w:val="24"/>
          <w:szCs w:val="24"/>
        </w:rPr>
        <w:t xml:space="preserve">to Derbyshire </w:t>
      </w:r>
      <w:r w:rsidRPr="00D50432">
        <w:rPr>
          <w:rFonts w:ascii="Arial" w:hAnsi="Arial" w:cs="Arial"/>
          <w:sz w:val="24"/>
          <w:szCs w:val="24"/>
        </w:rPr>
        <w:t xml:space="preserve">on the basis of historic cost. </w:t>
      </w:r>
      <w:r w:rsidRPr="00D50432" w:rsidR="00AF1D01">
        <w:rPr>
          <w:rFonts w:ascii="Arial" w:hAnsi="Arial" w:cs="Arial"/>
          <w:sz w:val="24"/>
          <w:szCs w:val="24"/>
        </w:rPr>
        <w:t xml:space="preserve">This means the LA’s </w:t>
      </w:r>
      <w:r w:rsidRPr="00D50432">
        <w:rPr>
          <w:rFonts w:ascii="Arial" w:hAnsi="Arial" w:cs="Arial"/>
          <w:sz w:val="24"/>
          <w:szCs w:val="24"/>
        </w:rPr>
        <w:t>settlement will include £1.1m</w:t>
      </w:r>
      <w:r w:rsidRPr="00D50432" w:rsidR="00C64A5F">
        <w:rPr>
          <w:rFonts w:ascii="Arial" w:hAnsi="Arial" w:cs="Arial"/>
          <w:sz w:val="24"/>
          <w:szCs w:val="24"/>
        </w:rPr>
        <w:t xml:space="preserve"> which is the sum the LA </w:t>
      </w:r>
      <w:r w:rsidR="00FB71EF">
        <w:rPr>
          <w:rFonts w:ascii="Arial" w:hAnsi="Arial" w:cs="Arial"/>
          <w:sz w:val="24"/>
          <w:szCs w:val="24"/>
        </w:rPr>
        <w:t xml:space="preserve">currently allocates </w:t>
      </w:r>
      <w:r w:rsidRPr="00D50432">
        <w:rPr>
          <w:rFonts w:ascii="Arial" w:hAnsi="Arial" w:cs="Arial"/>
          <w:sz w:val="24"/>
          <w:szCs w:val="24"/>
        </w:rPr>
        <w:t xml:space="preserve">to support schools </w:t>
      </w:r>
      <w:r w:rsidRPr="00D50432" w:rsidR="00C64A5F">
        <w:rPr>
          <w:rFonts w:ascii="Arial" w:hAnsi="Arial" w:cs="Arial"/>
          <w:sz w:val="24"/>
          <w:szCs w:val="24"/>
        </w:rPr>
        <w:t xml:space="preserve">in meeting the </w:t>
      </w:r>
      <w:r w:rsidRPr="00D50432">
        <w:rPr>
          <w:rFonts w:ascii="Arial" w:hAnsi="Arial" w:cs="Arial"/>
          <w:sz w:val="24"/>
          <w:szCs w:val="24"/>
        </w:rPr>
        <w:t xml:space="preserve">national Key Stage 1 Class size requirements. </w:t>
      </w:r>
    </w:p>
    <w:p w:rsidR="00D50432" w:rsidP="00A85DC7" w:rsidRDefault="00D50432">
      <w:pPr>
        <w:rPr>
          <w:rFonts w:ascii="Arial" w:hAnsi="Arial" w:cs="Arial"/>
          <w:sz w:val="24"/>
          <w:szCs w:val="24"/>
        </w:rPr>
      </w:pPr>
    </w:p>
    <w:p w:rsidR="00D50432" w:rsidP="00A85DC7" w:rsidRDefault="00C64A5F">
      <w:pPr>
        <w:rPr>
          <w:rFonts w:ascii="Arial" w:hAnsi="Arial" w:cs="Arial"/>
          <w:sz w:val="24"/>
          <w:szCs w:val="24"/>
        </w:rPr>
      </w:pPr>
      <w:r w:rsidRPr="00D50432">
        <w:rPr>
          <w:rFonts w:ascii="Arial" w:hAnsi="Arial" w:cs="Arial"/>
          <w:sz w:val="24"/>
          <w:szCs w:val="24"/>
        </w:rPr>
        <w:t xml:space="preserve">Other than the above </w:t>
      </w:r>
      <w:r w:rsidRPr="00D50432" w:rsidR="00AF1D01">
        <w:rPr>
          <w:rFonts w:ascii="Arial" w:hAnsi="Arial" w:cs="Arial"/>
          <w:sz w:val="24"/>
          <w:szCs w:val="24"/>
        </w:rPr>
        <w:t>KS1 resource, there has never been a general growth fund for in-year increases in pupil numbers</w:t>
      </w:r>
      <w:r w:rsidRPr="00D50432">
        <w:rPr>
          <w:rFonts w:ascii="Arial" w:hAnsi="Arial" w:cs="Arial"/>
          <w:sz w:val="24"/>
          <w:szCs w:val="24"/>
        </w:rPr>
        <w:t xml:space="preserve"> in Derbyshire</w:t>
      </w:r>
      <w:r w:rsidRPr="00D50432" w:rsidR="00D50432">
        <w:rPr>
          <w:rFonts w:ascii="Arial" w:hAnsi="Arial" w:cs="Arial"/>
          <w:sz w:val="24"/>
          <w:szCs w:val="24"/>
        </w:rPr>
        <w:t>.</w:t>
      </w:r>
      <w:r w:rsidR="00D50432">
        <w:rPr>
          <w:rFonts w:ascii="Arial" w:hAnsi="Arial" w:cs="Arial"/>
          <w:sz w:val="24"/>
          <w:szCs w:val="24"/>
        </w:rPr>
        <w:t xml:space="preserve"> For maintained schools the expectation has been that they would </w:t>
      </w:r>
      <w:r w:rsidRPr="00D50432" w:rsidR="00AF1D01">
        <w:rPr>
          <w:rFonts w:ascii="Arial" w:hAnsi="Arial" w:cs="Arial"/>
          <w:sz w:val="24"/>
          <w:szCs w:val="24"/>
        </w:rPr>
        <w:t>manage any additional cost pressures from their balances</w:t>
      </w:r>
      <w:r w:rsidR="00D50432">
        <w:rPr>
          <w:rFonts w:ascii="Arial" w:hAnsi="Arial" w:cs="Arial"/>
          <w:sz w:val="24"/>
          <w:szCs w:val="24"/>
        </w:rPr>
        <w:t xml:space="preserve">, </w:t>
      </w:r>
      <w:r w:rsidRPr="00D50432" w:rsidR="00AF1D01">
        <w:rPr>
          <w:rFonts w:ascii="Arial" w:hAnsi="Arial" w:cs="Arial"/>
          <w:sz w:val="24"/>
          <w:szCs w:val="24"/>
        </w:rPr>
        <w:t>via a licenced deficit</w:t>
      </w:r>
      <w:r w:rsidR="00D50432">
        <w:rPr>
          <w:rFonts w:ascii="Arial" w:hAnsi="Arial" w:cs="Arial"/>
          <w:sz w:val="24"/>
          <w:szCs w:val="24"/>
        </w:rPr>
        <w:t>, or</w:t>
      </w:r>
      <w:r w:rsidR="00176516">
        <w:rPr>
          <w:rFonts w:ascii="Arial" w:hAnsi="Arial" w:cs="Arial"/>
          <w:sz w:val="24"/>
          <w:szCs w:val="24"/>
        </w:rPr>
        <w:t>,</w:t>
      </w:r>
      <w:r w:rsidR="00D50432">
        <w:rPr>
          <w:rFonts w:ascii="Arial" w:hAnsi="Arial" w:cs="Arial"/>
          <w:sz w:val="24"/>
          <w:szCs w:val="24"/>
        </w:rPr>
        <w:t xml:space="preserve"> in exceptional circumstances, with support from the re-pooled contingency fund</w:t>
      </w:r>
      <w:r w:rsidRPr="00D50432" w:rsidR="00AF1D01">
        <w:rPr>
          <w:rFonts w:ascii="Arial" w:hAnsi="Arial" w:cs="Arial"/>
          <w:sz w:val="24"/>
          <w:szCs w:val="24"/>
        </w:rPr>
        <w:t>.</w:t>
      </w:r>
      <w:r w:rsidRPr="00D50432" w:rsidR="003B3555">
        <w:rPr>
          <w:rFonts w:ascii="Arial" w:hAnsi="Arial" w:cs="Arial"/>
          <w:sz w:val="24"/>
          <w:szCs w:val="24"/>
        </w:rPr>
        <w:t xml:space="preserve"> </w:t>
      </w:r>
      <w:r w:rsidR="00D50432">
        <w:rPr>
          <w:rFonts w:ascii="Arial" w:hAnsi="Arial" w:cs="Arial"/>
          <w:sz w:val="24"/>
          <w:szCs w:val="24"/>
        </w:rPr>
        <w:t xml:space="preserve">Academies have been required to fund any in-year increases </w:t>
      </w:r>
      <w:r w:rsidR="00176516">
        <w:rPr>
          <w:rFonts w:ascii="Arial" w:hAnsi="Arial" w:cs="Arial"/>
          <w:sz w:val="24"/>
          <w:szCs w:val="24"/>
        </w:rPr>
        <w:t>from their own resources</w:t>
      </w:r>
      <w:r w:rsidR="00D50432">
        <w:rPr>
          <w:rFonts w:ascii="Arial" w:hAnsi="Arial" w:cs="Arial"/>
          <w:sz w:val="24"/>
          <w:szCs w:val="24"/>
        </w:rPr>
        <w:t>.</w:t>
      </w:r>
    </w:p>
    <w:p w:rsidR="00D50432" w:rsidP="00A85DC7" w:rsidRDefault="00D50432">
      <w:pPr>
        <w:rPr>
          <w:rFonts w:ascii="Arial" w:hAnsi="Arial" w:cs="Arial"/>
          <w:sz w:val="24"/>
          <w:szCs w:val="24"/>
        </w:rPr>
      </w:pPr>
    </w:p>
    <w:p w:rsidR="00D50432" w:rsidP="00A85DC7" w:rsidRDefault="00D50432">
      <w:pPr>
        <w:rPr>
          <w:rFonts w:ascii="Arial" w:hAnsi="Arial" w:cs="Arial"/>
          <w:sz w:val="24"/>
          <w:szCs w:val="24"/>
        </w:rPr>
      </w:pPr>
      <w:r>
        <w:rPr>
          <w:rFonts w:ascii="Arial" w:hAnsi="Arial" w:cs="Arial"/>
          <w:sz w:val="24"/>
          <w:szCs w:val="24"/>
        </w:rPr>
        <w:t xml:space="preserve">The Authority has no plans to change these basic arrangements other than in respect of academies, and only then when the in-year increase is because the Authority has directed an academy to admit the </w:t>
      </w:r>
      <w:r w:rsidR="00176516">
        <w:rPr>
          <w:rFonts w:ascii="Arial" w:hAnsi="Arial" w:cs="Arial"/>
          <w:sz w:val="24"/>
          <w:szCs w:val="24"/>
        </w:rPr>
        <w:t xml:space="preserve">additional </w:t>
      </w:r>
      <w:r>
        <w:rPr>
          <w:rFonts w:ascii="Arial" w:hAnsi="Arial" w:cs="Arial"/>
          <w:sz w:val="24"/>
          <w:szCs w:val="24"/>
        </w:rPr>
        <w:t xml:space="preserve">children. Even in these circumstances the starting presumption would be that the Academy would absorb the </w:t>
      </w:r>
      <w:r w:rsidR="00FB71EF">
        <w:rPr>
          <w:rFonts w:ascii="Arial" w:hAnsi="Arial" w:cs="Arial"/>
          <w:sz w:val="24"/>
          <w:szCs w:val="24"/>
        </w:rPr>
        <w:t xml:space="preserve">additional </w:t>
      </w:r>
      <w:r>
        <w:rPr>
          <w:rFonts w:ascii="Arial" w:hAnsi="Arial" w:cs="Arial"/>
          <w:sz w:val="24"/>
          <w:szCs w:val="24"/>
        </w:rPr>
        <w:t>cost</w:t>
      </w:r>
      <w:r w:rsidR="00FB71EF">
        <w:rPr>
          <w:rFonts w:ascii="Arial" w:hAnsi="Arial" w:cs="Arial"/>
          <w:sz w:val="24"/>
          <w:szCs w:val="24"/>
        </w:rPr>
        <w:t>s</w:t>
      </w:r>
      <w:r>
        <w:rPr>
          <w:rFonts w:ascii="Arial" w:hAnsi="Arial" w:cs="Arial"/>
          <w:sz w:val="24"/>
          <w:szCs w:val="24"/>
        </w:rPr>
        <w:t xml:space="preserve"> with any support from a growth fund being subject to rigorous scrutiny, including</w:t>
      </w:r>
      <w:r w:rsidR="00176516">
        <w:rPr>
          <w:rFonts w:ascii="Arial" w:hAnsi="Arial" w:cs="Arial"/>
          <w:sz w:val="24"/>
          <w:szCs w:val="24"/>
        </w:rPr>
        <w:t xml:space="preserve"> an assessment of</w:t>
      </w:r>
      <w:r>
        <w:rPr>
          <w:rFonts w:ascii="Arial" w:hAnsi="Arial" w:cs="Arial"/>
          <w:sz w:val="24"/>
          <w:szCs w:val="24"/>
        </w:rPr>
        <w:t>:</w:t>
      </w:r>
    </w:p>
    <w:p w:rsidR="00D50432" w:rsidP="00A85DC7" w:rsidRDefault="00D50432">
      <w:pPr>
        <w:rPr>
          <w:rFonts w:ascii="Arial" w:hAnsi="Arial" w:cs="Arial"/>
          <w:sz w:val="24"/>
          <w:szCs w:val="24"/>
        </w:rPr>
      </w:pPr>
    </w:p>
    <w:p w:rsidR="00D50432" w:rsidP="00D50432" w:rsidRDefault="00176516">
      <w:pPr>
        <w:pStyle w:val="ListParagraph"/>
        <w:numPr>
          <w:ilvl w:val="0"/>
          <w:numId w:val="12"/>
        </w:numPr>
        <w:rPr>
          <w:rFonts w:ascii="Arial" w:hAnsi="Arial" w:cs="Arial"/>
          <w:sz w:val="24"/>
          <w:szCs w:val="24"/>
        </w:rPr>
      </w:pPr>
      <w:r>
        <w:rPr>
          <w:rFonts w:ascii="Arial" w:hAnsi="Arial" w:cs="Arial"/>
          <w:sz w:val="24"/>
          <w:szCs w:val="24"/>
        </w:rPr>
        <w:t>T</w:t>
      </w:r>
      <w:r w:rsidRPr="00D50432" w:rsidR="00D50432">
        <w:rPr>
          <w:rFonts w:ascii="Arial" w:hAnsi="Arial" w:cs="Arial"/>
          <w:sz w:val="24"/>
          <w:szCs w:val="24"/>
        </w:rPr>
        <w:t xml:space="preserve">he financial cost of the </w:t>
      </w:r>
      <w:r>
        <w:rPr>
          <w:rFonts w:ascii="Arial" w:hAnsi="Arial" w:cs="Arial"/>
          <w:sz w:val="24"/>
          <w:szCs w:val="24"/>
        </w:rPr>
        <w:t xml:space="preserve">extra </w:t>
      </w:r>
      <w:r w:rsidRPr="00D50432" w:rsidR="00D50432">
        <w:rPr>
          <w:rFonts w:ascii="Arial" w:hAnsi="Arial" w:cs="Arial"/>
          <w:sz w:val="24"/>
          <w:szCs w:val="24"/>
        </w:rPr>
        <w:t>pupils, relative to the size of the Academy’s budget;</w:t>
      </w:r>
      <w:r>
        <w:rPr>
          <w:rFonts w:ascii="Arial" w:hAnsi="Arial" w:cs="Arial"/>
          <w:sz w:val="24"/>
          <w:szCs w:val="24"/>
        </w:rPr>
        <w:t xml:space="preserve"> and</w:t>
      </w:r>
    </w:p>
    <w:p w:rsidRPr="00D50432" w:rsidR="00D50432" w:rsidP="00D50432" w:rsidRDefault="00D50432">
      <w:pPr>
        <w:pStyle w:val="ListParagraph"/>
        <w:numPr>
          <w:ilvl w:val="0"/>
          <w:numId w:val="12"/>
        </w:numPr>
        <w:rPr>
          <w:rFonts w:ascii="Arial" w:hAnsi="Arial" w:cs="Arial"/>
          <w:sz w:val="24"/>
          <w:szCs w:val="24"/>
        </w:rPr>
      </w:pPr>
      <w:r>
        <w:rPr>
          <w:rFonts w:ascii="Arial" w:hAnsi="Arial" w:cs="Arial"/>
          <w:sz w:val="24"/>
          <w:szCs w:val="24"/>
        </w:rPr>
        <w:t>The academy’s ability to absorb this cost based on their current/forecast balances</w:t>
      </w:r>
      <w:r w:rsidR="00176516">
        <w:rPr>
          <w:rFonts w:ascii="Arial" w:hAnsi="Arial" w:cs="Arial"/>
          <w:sz w:val="24"/>
          <w:szCs w:val="24"/>
        </w:rPr>
        <w:t>.</w:t>
      </w:r>
    </w:p>
    <w:p w:rsidR="00D50432" w:rsidP="00A85DC7" w:rsidRDefault="00176516">
      <w:pPr>
        <w:rPr>
          <w:rFonts w:ascii="Arial" w:hAnsi="Arial" w:cs="Arial"/>
          <w:sz w:val="24"/>
          <w:szCs w:val="24"/>
        </w:rPr>
      </w:pPr>
      <w:r>
        <w:rPr>
          <w:rFonts w:ascii="Arial" w:hAnsi="Arial" w:cs="Arial"/>
          <w:sz w:val="24"/>
          <w:szCs w:val="24"/>
        </w:rPr>
        <w:lastRenderedPageBreak/>
        <w:t xml:space="preserve">Even for those claims that passed the above tests there </w:t>
      </w:r>
      <w:r w:rsidR="00FC378C">
        <w:rPr>
          <w:rFonts w:ascii="Arial" w:hAnsi="Arial" w:cs="Arial"/>
          <w:sz w:val="24"/>
          <w:szCs w:val="24"/>
        </w:rPr>
        <w:t xml:space="preserve">would </w:t>
      </w:r>
      <w:r>
        <w:rPr>
          <w:rFonts w:ascii="Arial" w:hAnsi="Arial" w:cs="Arial"/>
          <w:sz w:val="24"/>
          <w:szCs w:val="24"/>
        </w:rPr>
        <w:t xml:space="preserve">still be </w:t>
      </w:r>
      <w:r w:rsidR="00FC378C">
        <w:rPr>
          <w:rFonts w:ascii="Arial" w:hAnsi="Arial" w:cs="Arial"/>
          <w:sz w:val="24"/>
          <w:szCs w:val="24"/>
        </w:rPr>
        <w:t xml:space="preserve">an expectation that the academy would pick up </w:t>
      </w:r>
      <w:r>
        <w:rPr>
          <w:rFonts w:ascii="Arial" w:hAnsi="Arial" w:cs="Arial"/>
          <w:sz w:val="24"/>
          <w:szCs w:val="24"/>
        </w:rPr>
        <w:t xml:space="preserve">an </w:t>
      </w:r>
      <w:r w:rsidR="00FC378C">
        <w:rPr>
          <w:rFonts w:ascii="Arial" w:hAnsi="Arial" w:cs="Arial"/>
          <w:sz w:val="24"/>
          <w:szCs w:val="24"/>
        </w:rPr>
        <w:t>element of the additional cost, equivalent to 1% of their annual budget</w:t>
      </w:r>
      <w:r>
        <w:rPr>
          <w:rFonts w:ascii="Arial" w:hAnsi="Arial" w:cs="Arial"/>
          <w:sz w:val="24"/>
          <w:szCs w:val="24"/>
        </w:rPr>
        <w:t xml:space="preserve">, with only costs above this threshold being </w:t>
      </w:r>
      <w:r w:rsidR="002B4476">
        <w:rPr>
          <w:rFonts w:ascii="Arial" w:hAnsi="Arial" w:cs="Arial"/>
          <w:sz w:val="24"/>
          <w:szCs w:val="24"/>
        </w:rPr>
        <w:t>met from the growth fund: this arrangement is consistent with the tests applied to the re-pooled contingency fund.</w:t>
      </w:r>
      <w:r w:rsidR="00FC378C">
        <w:rPr>
          <w:rFonts w:ascii="Arial" w:hAnsi="Arial" w:cs="Arial"/>
          <w:sz w:val="24"/>
          <w:szCs w:val="24"/>
        </w:rPr>
        <w:t xml:space="preserve"> </w:t>
      </w:r>
    </w:p>
    <w:p w:rsidR="00D50432" w:rsidP="00A85DC7" w:rsidRDefault="00D50432">
      <w:pPr>
        <w:rPr>
          <w:rFonts w:ascii="Arial" w:hAnsi="Arial" w:cs="Arial"/>
          <w:sz w:val="24"/>
          <w:szCs w:val="24"/>
        </w:rPr>
      </w:pPr>
    </w:p>
    <w:p w:rsidR="003B3555" w:rsidP="00FC378C" w:rsidRDefault="00FC378C">
      <w:pPr>
        <w:rPr>
          <w:rFonts w:ascii="Arial" w:hAnsi="Arial" w:cs="Arial"/>
          <w:sz w:val="24"/>
          <w:szCs w:val="24"/>
        </w:rPr>
      </w:pPr>
      <w:r>
        <w:rPr>
          <w:rFonts w:ascii="Arial" w:hAnsi="Arial" w:cs="Arial"/>
          <w:sz w:val="24"/>
          <w:szCs w:val="24"/>
        </w:rPr>
        <w:t>The</w:t>
      </w:r>
      <w:r w:rsidR="002B4476">
        <w:rPr>
          <w:rFonts w:ascii="Arial" w:hAnsi="Arial" w:cs="Arial"/>
          <w:sz w:val="24"/>
          <w:szCs w:val="24"/>
        </w:rPr>
        <w:t xml:space="preserve"> above </w:t>
      </w:r>
      <w:r>
        <w:rPr>
          <w:rFonts w:ascii="Arial" w:hAnsi="Arial" w:cs="Arial"/>
          <w:sz w:val="24"/>
          <w:szCs w:val="24"/>
        </w:rPr>
        <w:t xml:space="preserve">restrictions are </w:t>
      </w:r>
      <w:r w:rsidR="00176516">
        <w:rPr>
          <w:rFonts w:ascii="Arial" w:hAnsi="Arial" w:cs="Arial"/>
          <w:sz w:val="24"/>
          <w:szCs w:val="24"/>
        </w:rPr>
        <w:t xml:space="preserve">considered </w:t>
      </w:r>
      <w:r>
        <w:rPr>
          <w:rFonts w:ascii="Arial" w:hAnsi="Arial" w:cs="Arial"/>
          <w:sz w:val="24"/>
          <w:szCs w:val="24"/>
        </w:rPr>
        <w:t xml:space="preserve">necessary as any increase in the growth fund would have to be resourced by a reduction in the multipliers in Appendix 1. </w:t>
      </w:r>
      <w:r w:rsidRPr="00176516">
        <w:rPr>
          <w:rFonts w:ascii="Arial" w:hAnsi="Arial" w:cs="Arial"/>
          <w:sz w:val="24"/>
          <w:szCs w:val="24"/>
        </w:rPr>
        <w:t xml:space="preserve">For example a </w:t>
      </w:r>
      <w:r w:rsidRPr="00176516" w:rsidR="003B3555">
        <w:rPr>
          <w:rFonts w:ascii="Arial" w:hAnsi="Arial" w:cs="Arial"/>
          <w:sz w:val="24"/>
          <w:szCs w:val="24"/>
        </w:rPr>
        <w:t>£</w:t>
      </w:r>
      <w:r w:rsidRPr="00176516">
        <w:rPr>
          <w:rFonts w:ascii="Arial" w:hAnsi="Arial" w:cs="Arial"/>
          <w:sz w:val="24"/>
          <w:szCs w:val="24"/>
        </w:rPr>
        <w:t>10</w:t>
      </w:r>
      <w:r w:rsidRPr="00176516" w:rsidR="003B3555">
        <w:rPr>
          <w:rFonts w:ascii="Arial" w:hAnsi="Arial" w:cs="Arial"/>
          <w:sz w:val="24"/>
          <w:szCs w:val="24"/>
        </w:rPr>
        <w:t xml:space="preserve">0k growth fund budget would require a reduction in the AWPU multipliers </w:t>
      </w:r>
      <w:r w:rsidRPr="00176516" w:rsidR="00281F55">
        <w:rPr>
          <w:rFonts w:ascii="Arial" w:hAnsi="Arial" w:cs="Arial"/>
          <w:sz w:val="24"/>
          <w:szCs w:val="24"/>
        </w:rPr>
        <w:t xml:space="preserve">in </w:t>
      </w:r>
      <w:r w:rsidRPr="00176516" w:rsidR="00C64A5F">
        <w:rPr>
          <w:rFonts w:ascii="Arial" w:hAnsi="Arial" w:cs="Arial"/>
          <w:sz w:val="24"/>
          <w:szCs w:val="24"/>
        </w:rPr>
        <w:t xml:space="preserve">Appendix 1 </w:t>
      </w:r>
      <w:r w:rsidRPr="00176516" w:rsidR="003B3555">
        <w:rPr>
          <w:rFonts w:ascii="Arial" w:hAnsi="Arial" w:cs="Arial"/>
          <w:sz w:val="24"/>
          <w:szCs w:val="24"/>
        </w:rPr>
        <w:t xml:space="preserve">of around </w:t>
      </w:r>
      <w:r w:rsidRPr="00176516" w:rsidR="00176516">
        <w:rPr>
          <w:rFonts w:ascii="Arial" w:hAnsi="Arial" w:cs="Arial"/>
          <w:sz w:val="24"/>
          <w:szCs w:val="24"/>
        </w:rPr>
        <w:t>£1 per pupil</w:t>
      </w:r>
      <w:r w:rsidRPr="00176516" w:rsidR="003B3555">
        <w:rPr>
          <w:rFonts w:ascii="Arial" w:hAnsi="Arial" w:cs="Arial"/>
          <w:sz w:val="24"/>
          <w:szCs w:val="24"/>
        </w:rPr>
        <w:t>.</w:t>
      </w:r>
    </w:p>
    <w:p w:rsidR="008B2EBE" w:rsidP="00A85DC7" w:rsidRDefault="008B2EBE">
      <w:pPr>
        <w:rPr>
          <w:rFonts w:ascii="Arial" w:hAnsi="Arial" w:cs="Arial"/>
          <w:sz w:val="24"/>
          <w:szCs w:val="24"/>
        </w:rPr>
      </w:pPr>
    </w:p>
    <w:p w:rsidR="008E2AF0" w:rsidP="008E2AF0" w:rsidRDefault="008E2AF0">
      <w:pPr>
        <w:rPr>
          <w:rFonts w:ascii="Arial" w:hAnsi="Arial" w:cs="Arial"/>
          <w:b/>
          <w:sz w:val="24"/>
          <w:szCs w:val="24"/>
        </w:rPr>
      </w:pPr>
      <w:r>
        <w:rPr>
          <w:rFonts w:ascii="Arial" w:hAnsi="Arial" w:cs="Arial"/>
          <w:b/>
          <w:sz w:val="24"/>
          <w:szCs w:val="24"/>
        </w:rPr>
        <w:t>3.3</w:t>
      </w:r>
      <w:r>
        <w:rPr>
          <w:rFonts w:ascii="Arial" w:hAnsi="Arial" w:cs="Arial"/>
          <w:b/>
          <w:sz w:val="24"/>
          <w:szCs w:val="24"/>
        </w:rPr>
        <w:tab/>
      </w:r>
      <w:r w:rsidRPr="00890E62">
        <w:rPr>
          <w:rFonts w:ascii="Arial" w:hAnsi="Arial" w:cs="Arial"/>
          <w:b/>
          <w:sz w:val="24"/>
          <w:szCs w:val="24"/>
          <w:u w:val="single"/>
        </w:rPr>
        <w:t>Growth fund</w:t>
      </w:r>
      <w:r>
        <w:rPr>
          <w:rFonts w:ascii="Arial" w:hAnsi="Arial" w:cs="Arial"/>
          <w:b/>
          <w:sz w:val="24"/>
          <w:szCs w:val="24"/>
          <w:u w:val="single"/>
        </w:rPr>
        <w:t xml:space="preserve"> – new free schools</w:t>
      </w:r>
    </w:p>
    <w:p w:rsidR="008E2AF0" w:rsidP="00A85DC7" w:rsidRDefault="008E2AF0">
      <w:pPr>
        <w:rPr>
          <w:rFonts w:ascii="Arial" w:hAnsi="Arial" w:cs="Arial"/>
          <w:sz w:val="24"/>
          <w:szCs w:val="24"/>
        </w:rPr>
      </w:pPr>
    </w:p>
    <w:p w:rsidRPr="0052603D" w:rsidR="003B3555" w:rsidP="003B3555" w:rsidRDefault="00AF1D01">
      <w:pPr>
        <w:rPr>
          <w:rFonts w:ascii="Arial" w:hAnsi="Arial" w:cs="Arial"/>
          <w:sz w:val="24"/>
          <w:szCs w:val="24"/>
        </w:rPr>
      </w:pPr>
      <w:r w:rsidRPr="0052603D">
        <w:rPr>
          <w:rFonts w:ascii="Arial" w:hAnsi="Arial" w:cs="Arial"/>
          <w:sz w:val="24"/>
          <w:szCs w:val="24"/>
        </w:rPr>
        <w:t>The Authority recognise</w:t>
      </w:r>
      <w:r w:rsidRPr="0052603D" w:rsidR="003B3555">
        <w:rPr>
          <w:rFonts w:ascii="Arial" w:hAnsi="Arial" w:cs="Arial"/>
          <w:sz w:val="24"/>
          <w:szCs w:val="24"/>
        </w:rPr>
        <w:t>s</w:t>
      </w:r>
      <w:r w:rsidRPr="0052603D">
        <w:rPr>
          <w:rFonts w:ascii="Arial" w:hAnsi="Arial" w:cs="Arial"/>
          <w:sz w:val="24"/>
          <w:szCs w:val="24"/>
        </w:rPr>
        <w:t xml:space="preserve"> that the position of newly</w:t>
      </w:r>
      <w:r w:rsidRPr="0052603D" w:rsidR="00B33D8B">
        <w:rPr>
          <w:rFonts w:ascii="Arial" w:hAnsi="Arial" w:cs="Arial"/>
          <w:sz w:val="24"/>
          <w:szCs w:val="24"/>
        </w:rPr>
        <w:t>-</w:t>
      </w:r>
      <w:r w:rsidRPr="0052603D">
        <w:rPr>
          <w:rFonts w:ascii="Arial" w:hAnsi="Arial" w:cs="Arial"/>
          <w:sz w:val="24"/>
          <w:szCs w:val="24"/>
        </w:rPr>
        <w:t xml:space="preserve">opened schools is different. </w:t>
      </w:r>
      <w:r w:rsidRPr="0052603D" w:rsidR="003B3555">
        <w:rPr>
          <w:rFonts w:ascii="Arial" w:hAnsi="Arial" w:cs="Arial"/>
          <w:sz w:val="24"/>
          <w:szCs w:val="24"/>
        </w:rPr>
        <w:t>The Education Act 2011 changed the arrangements for establishing new schools and introduced Section 6A, the ‘Free School Presumption’, to the Education and Inspections Act 2006. Where a local authority (LA) thinks that there is a need for a new school in its area it must seek proposals to establish</w:t>
      </w:r>
      <w:r w:rsidRPr="0052603D" w:rsidR="0033046E">
        <w:rPr>
          <w:rFonts w:ascii="Arial" w:hAnsi="Arial" w:cs="Arial"/>
          <w:sz w:val="24"/>
          <w:szCs w:val="24"/>
        </w:rPr>
        <w:t xml:space="preserve"> </w:t>
      </w:r>
      <w:r w:rsidRPr="0052603D" w:rsidR="003B3555">
        <w:rPr>
          <w:rFonts w:ascii="Arial" w:hAnsi="Arial" w:cs="Arial"/>
          <w:sz w:val="24"/>
          <w:szCs w:val="24"/>
        </w:rPr>
        <w:t>an academy (free school).</w:t>
      </w:r>
    </w:p>
    <w:p w:rsidRPr="0052603D" w:rsidR="00E64BE8" w:rsidP="003B3555" w:rsidRDefault="00E64BE8">
      <w:pPr>
        <w:rPr>
          <w:rFonts w:ascii="Arial" w:hAnsi="Arial" w:cs="Arial"/>
          <w:sz w:val="24"/>
          <w:szCs w:val="24"/>
        </w:rPr>
      </w:pPr>
    </w:p>
    <w:p w:rsidRPr="0052603D" w:rsidR="008E2AF0" w:rsidP="008E2AF0" w:rsidRDefault="008E2AF0">
      <w:pPr>
        <w:rPr>
          <w:rFonts w:ascii="Arial" w:hAnsi="Arial" w:cs="Arial"/>
          <w:sz w:val="24"/>
          <w:szCs w:val="24"/>
        </w:rPr>
      </w:pPr>
      <w:r w:rsidRPr="0052603D">
        <w:rPr>
          <w:rFonts w:ascii="Arial" w:hAnsi="Arial" w:cs="Arial"/>
          <w:sz w:val="24"/>
          <w:szCs w:val="24"/>
        </w:rPr>
        <w:t xml:space="preserve">The DfE’s arrangements require LAs to provide the site for the new school and also meet the associated capital, pre-opening and post-opening costs. The capital costs may be supported by ‘S106 funding’, i.e. funding from the housing developer. However, the vast majority of the pre- and post-opening costs of a new school are funded via the Schools Block </w:t>
      </w:r>
      <w:r w:rsidRPr="0052603D" w:rsidR="008B2EBE">
        <w:rPr>
          <w:rFonts w:ascii="Arial" w:hAnsi="Arial" w:cs="Arial"/>
          <w:sz w:val="24"/>
          <w:szCs w:val="24"/>
        </w:rPr>
        <w:t xml:space="preserve">of the </w:t>
      </w:r>
      <w:r w:rsidRPr="0052603D">
        <w:rPr>
          <w:rFonts w:ascii="Arial" w:hAnsi="Arial" w:cs="Arial"/>
          <w:sz w:val="24"/>
          <w:szCs w:val="24"/>
        </w:rPr>
        <w:t>DSG.</w:t>
      </w:r>
    </w:p>
    <w:p w:rsidRPr="0052603D" w:rsidR="008E2AF0" w:rsidP="003B3555" w:rsidRDefault="008E2AF0">
      <w:pPr>
        <w:rPr>
          <w:rFonts w:ascii="Arial" w:hAnsi="Arial" w:cs="Arial"/>
          <w:sz w:val="24"/>
          <w:szCs w:val="24"/>
        </w:rPr>
      </w:pPr>
    </w:p>
    <w:p w:rsidRPr="0052603D" w:rsidR="008E2AF0" w:rsidP="008E2AF0" w:rsidRDefault="008E2AF0">
      <w:pPr>
        <w:rPr>
          <w:rFonts w:ascii="Arial" w:hAnsi="Arial" w:cs="Arial"/>
          <w:sz w:val="24"/>
          <w:szCs w:val="24"/>
        </w:rPr>
      </w:pPr>
      <w:r w:rsidRPr="0052603D">
        <w:rPr>
          <w:rFonts w:ascii="Arial" w:hAnsi="Arial" w:cs="Arial"/>
          <w:sz w:val="24"/>
          <w:szCs w:val="24"/>
        </w:rPr>
        <w:t>The one off “p</w:t>
      </w:r>
      <w:r w:rsidRPr="0052603D" w:rsidR="00AF1D01">
        <w:rPr>
          <w:rFonts w:ascii="Arial" w:hAnsi="Arial" w:cs="Arial"/>
          <w:sz w:val="24"/>
          <w:szCs w:val="24"/>
        </w:rPr>
        <w:t>re-opening</w:t>
      </w:r>
      <w:r w:rsidRPr="0052603D">
        <w:rPr>
          <w:rFonts w:ascii="Arial" w:hAnsi="Arial" w:cs="Arial"/>
          <w:sz w:val="24"/>
          <w:szCs w:val="24"/>
        </w:rPr>
        <w:t>”</w:t>
      </w:r>
      <w:r w:rsidRPr="0052603D" w:rsidR="00AF1D01">
        <w:rPr>
          <w:rFonts w:ascii="Arial" w:hAnsi="Arial" w:cs="Arial"/>
          <w:sz w:val="24"/>
          <w:szCs w:val="24"/>
        </w:rPr>
        <w:t xml:space="preserve"> </w:t>
      </w:r>
      <w:r w:rsidRPr="0052603D" w:rsidR="003B3555">
        <w:rPr>
          <w:rFonts w:ascii="Arial" w:hAnsi="Arial" w:cs="Arial"/>
          <w:sz w:val="24"/>
          <w:szCs w:val="24"/>
        </w:rPr>
        <w:t xml:space="preserve">financial support to </w:t>
      </w:r>
      <w:r w:rsidRPr="0052603D">
        <w:rPr>
          <w:rFonts w:ascii="Arial" w:hAnsi="Arial" w:cs="Arial"/>
          <w:sz w:val="24"/>
          <w:szCs w:val="24"/>
        </w:rPr>
        <w:t xml:space="preserve">any school created under the above legislation is capped at £220k. </w:t>
      </w:r>
      <w:r w:rsidRPr="0052603D" w:rsidR="009211D7">
        <w:rPr>
          <w:rFonts w:ascii="Arial" w:hAnsi="Arial" w:cs="Arial"/>
          <w:sz w:val="24"/>
          <w:szCs w:val="24"/>
        </w:rPr>
        <w:t xml:space="preserve"> </w:t>
      </w:r>
      <w:r w:rsidRPr="0052603D" w:rsidR="00B33D8B">
        <w:rPr>
          <w:rFonts w:ascii="Arial" w:hAnsi="Arial" w:cs="Arial"/>
          <w:sz w:val="24"/>
          <w:szCs w:val="24"/>
        </w:rPr>
        <w:t>In addition</w:t>
      </w:r>
      <w:r w:rsidRPr="0052603D">
        <w:rPr>
          <w:rFonts w:ascii="Arial" w:hAnsi="Arial" w:cs="Arial"/>
          <w:sz w:val="24"/>
          <w:szCs w:val="24"/>
        </w:rPr>
        <w:t xml:space="preserve">, </w:t>
      </w:r>
      <w:r w:rsidRPr="0052603D" w:rsidR="007B614E">
        <w:rPr>
          <w:rFonts w:ascii="Arial" w:hAnsi="Arial" w:cs="Arial"/>
          <w:sz w:val="24"/>
          <w:szCs w:val="24"/>
        </w:rPr>
        <w:t xml:space="preserve">in the early years of operation </w:t>
      </w:r>
      <w:r w:rsidRPr="0052603D">
        <w:rPr>
          <w:rFonts w:ascii="Arial" w:hAnsi="Arial" w:cs="Arial"/>
          <w:sz w:val="24"/>
          <w:szCs w:val="24"/>
        </w:rPr>
        <w:t>n</w:t>
      </w:r>
      <w:r w:rsidRPr="0052603D" w:rsidR="00AF1D01">
        <w:rPr>
          <w:rFonts w:ascii="Arial" w:hAnsi="Arial" w:cs="Arial"/>
          <w:sz w:val="24"/>
          <w:szCs w:val="24"/>
        </w:rPr>
        <w:t>ewly</w:t>
      </w:r>
      <w:r w:rsidRPr="0052603D" w:rsidR="00B33D8B">
        <w:rPr>
          <w:rFonts w:ascii="Arial" w:hAnsi="Arial" w:cs="Arial"/>
          <w:sz w:val="24"/>
          <w:szCs w:val="24"/>
        </w:rPr>
        <w:t>-</w:t>
      </w:r>
      <w:r w:rsidRPr="0052603D" w:rsidR="00AF1D01">
        <w:rPr>
          <w:rFonts w:ascii="Arial" w:hAnsi="Arial" w:cs="Arial"/>
          <w:sz w:val="24"/>
          <w:szCs w:val="24"/>
        </w:rPr>
        <w:t xml:space="preserve">opened schools often have to </w:t>
      </w:r>
      <w:r w:rsidRPr="0052603D" w:rsidR="009211D7">
        <w:rPr>
          <w:rFonts w:ascii="Arial" w:hAnsi="Arial" w:cs="Arial"/>
          <w:sz w:val="24"/>
          <w:szCs w:val="24"/>
        </w:rPr>
        <w:t xml:space="preserve">operate </w:t>
      </w:r>
      <w:r w:rsidRPr="0052603D" w:rsidR="00AF1D01">
        <w:rPr>
          <w:rFonts w:ascii="Arial" w:hAnsi="Arial" w:cs="Arial"/>
          <w:sz w:val="24"/>
          <w:szCs w:val="24"/>
        </w:rPr>
        <w:t xml:space="preserve">a staffing structure </w:t>
      </w:r>
      <w:r w:rsidRPr="0052603D" w:rsidR="009211D7">
        <w:rPr>
          <w:rFonts w:ascii="Arial" w:hAnsi="Arial" w:cs="Arial"/>
          <w:sz w:val="24"/>
          <w:szCs w:val="24"/>
        </w:rPr>
        <w:t xml:space="preserve">which is more expensive than that which </w:t>
      </w:r>
      <w:r w:rsidRPr="0052603D" w:rsidR="00AF1D01">
        <w:rPr>
          <w:rFonts w:ascii="Arial" w:hAnsi="Arial" w:cs="Arial"/>
          <w:sz w:val="24"/>
          <w:szCs w:val="24"/>
        </w:rPr>
        <w:t xml:space="preserve">the number of pupils, and thus budget, </w:t>
      </w:r>
      <w:r w:rsidRPr="0052603D" w:rsidR="009211D7">
        <w:rPr>
          <w:rFonts w:ascii="Arial" w:hAnsi="Arial" w:cs="Arial"/>
          <w:sz w:val="24"/>
          <w:szCs w:val="24"/>
        </w:rPr>
        <w:t>can support</w:t>
      </w:r>
      <w:r w:rsidRPr="0052603D" w:rsidR="00AF1D01">
        <w:rPr>
          <w:rFonts w:ascii="Arial" w:hAnsi="Arial" w:cs="Arial"/>
          <w:sz w:val="24"/>
          <w:szCs w:val="24"/>
        </w:rPr>
        <w:t xml:space="preserve">. </w:t>
      </w:r>
      <w:r w:rsidRPr="0052603D" w:rsidR="009211D7">
        <w:rPr>
          <w:rFonts w:ascii="Arial" w:hAnsi="Arial" w:cs="Arial"/>
          <w:sz w:val="24"/>
          <w:szCs w:val="24"/>
        </w:rPr>
        <w:t xml:space="preserve">In these circumstances </w:t>
      </w:r>
      <w:r w:rsidRPr="0052603D">
        <w:rPr>
          <w:rFonts w:ascii="Arial" w:hAnsi="Arial" w:cs="Arial"/>
          <w:sz w:val="24"/>
          <w:szCs w:val="24"/>
        </w:rPr>
        <w:t xml:space="preserve">LAs are expected to provide additional help, known as “post-opening” support. </w:t>
      </w:r>
    </w:p>
    <w:p w:rsidRPr="0052603D" w:rsidR="008E2AF0" w:rsidP="008E2AF0" w:rsidRDefault="008E2AF0">
      <w:pPr>
        <w:rPr>
          <w:rFonts w:ascii="Arial" w:hAnsi="Arial" w:cs="Arial"/>
          <w:sz w:val="24"/>
          <w:szCs w:val="24"/>
        </w:rPr>
      </w:pPr>
    </w:p>
    <w:p w:rsidRPr="0052603D" w:rsidR="008E2AF0" w:rsidP="008E2AF0" w:rsidRDefault="008E2AF0">
      <w:pPr>
        <w:rPr>
          <w:rFonts w:ascii="Arial" w:hAnsi="Arial" w:cs="Arial"/>
          <w:color w:val="000000"/>
          <w:sz w:val="24"/>
          <w:szCs w:val="24"/>
        </w:rPr>
      </w:pPr>
      <w:r w:rsidRPr="0052603D">
        <w:rPr>
          <w:rFonts w:ascii="Arial" w:hAnsi="Arial" w:cs="Arial"/>
          <w:sz w:val="24"/>
          <w:szCs w:val="24"/>
        </w:rPr>
        <w:t xml:space="preserve">Post-opening support can be funded in one of two ways. The first approach would be to adjust the relevant school’s </w:t>
      </w:r>
      <w:r w:rsidRPr="0052603D">
        <w:rPr>
          <w:rFonts w:ascii="Arial" w:hAnsi="Arial" w:cs="Arial"/>
          <w:color w:val="000000"/>
          <w:sz w:val="24"/>
          <w:szCs w:val="24"/>
        </w:rPr>
        <w:t xml:space="preserve">pupil numbers that drive its budget allocation. The alternative would be to top-slice the allocations of all schools </w:t>
      </w:r>
      <w:r w:rsidRPr="0052603D" w:rsidR="00B33D8B">
        <w:rPr>
          <w:rFonts w:ascii="Arial" w:hAnsi="Arial" w:cs="Arial"/>
          <w:color w:val="000000"/>
          <w:sz w:val="24"/>
          <w:szCs w:val="24"/>
        </w:rPr>
        <w:t xml:space="preserve">and academies </w:t>
      </w:r>
      <w:r w:rsidRPr="0052603D">
        <w:rPr>
          <w:rFonts w:ascii="Arial" w:hAnsi="Arial" w:cs="Arial"/>
          <w:color w:val="000000"/>
          <w:sz w:val="24"/>
          <w:szCs w:val="24"/>
        </w:rPr>
        <w:t>to create a fund</w:t>
      </w:r>
      <w:r w:rsidRPr="0052603D" w:rsidR="00B33D8B">
        <w:rPr>
          <w:rFonts w:ascii="Arial" w:hAnsi="Arial" w:cs="Arial"/>
          <w:color w:val="000000"/>
          <w:sz w:val="24"/>
          <w:szCs w:val="24"/>
        </w:rPr>
        <w:t xml:space="preserve"> to provide the required support</w:t>
      </w:r>
      <w:r w:rsidRPr="0052603D" w:rsidR="007C4FE2">
        <w:rPr>
          <w:rFonts w:ascii="Arial" w:hAnsi="Arial" w:cs="Arial"/>
          <w:color w:val="000000"/>
          <w:sz w:val="24"/>
          <w:szCs w:val="24"/>
        </w:rPr>
        <w:t>.</w:t>
      </w:r>
    </w:p>
    <w:p w:rsidRPr="0052603D" w:rsidR="009211D7" w:rsidP="00A85DC7" w:rsidRDefault="007C4FE2">
      <w:pPr>
        <w:rPr>
          <w:rFonts w:ascii="Arial" w:hAnsi="Arial" w:cs="Arial"/>
          <w:sz w:val="24"/>
          <w:szCs w:val="24"/>
        </w:rPr>
      </w:pPr>
      <w:r w:rsidRPr="0052603D">
        <w:rPr>
          <w:rFonts w:ascii="Arial" w:hAnsi="Arial" w:cs="Arial"/>
          <w:sz w:val="24"/>
          <w:szCs w:val="24"/>
        </w:rPr>
        <w:t>The issue of funding to support new free schools is an emerging pressure in Derbyshire as p</w:t>
      </w:r>
      <w:r w:rsidRPr="0052603D" w:rsidR="00AF1D01">
        <w:rPr>
          <w:rFonts w:ascii="Arial" w:hAnsi="Arial" w:cs="Arial"/>
          <w:sz w:val="24"/>
          <w:szCs w:val="24"/>
        </w:rPr>
        <w:t>otentially up to 5 primary sector free schools may be required by September 2019</w:t>
      </w:r>
      <w:r w:rsidRPr="0052603D">
        <w:rPr>
          <w:rFonts w:ascii="Arial" w:hAnsi="Arial" w:cs="Arial"/>
          <w:sz w:val="24"/>
          <w:szCs w:val="24"/>
        </w:rPr>
        <w:t xml:space="preserve"> to meet the expected increases in pupil numbers</w:t>
      </w:r>
      <w:r w:rsidRPr="0052603D" w:rsidR="00AF1D01">
        <w:rPr>
          <w:rFonts w:ascii="Arial" w:hAnsi="Arial" w:cs="Arial"/>
          <w:sz w:val="24"/>
          <w:szCs w:val="24"/>
        </w:rPr>
        <w:t xml:space="preserve">. </w:t>
      </w:r>
    </w:p>
    <w:p w:rsidRPr="0052603D" w:rsidR="009211D7" w:rsidP="00A85DC7" w:rsidRDefault="009211D7">
      <w:pPr>
        <w:rPr>
          <w:rFonts w:ascii="Arial" w:hAnsi="Arial" w:cs="Arial"/>
          <w:sz w:val="24"/>
          <w:szCs w:val="24"/>
        </w:rPr>
      </w:pPr>
    </w:p>
    <w:p w:rsidRPr="0052603D" w:rsidR="007B614E" w:rsidP="00A85DC7" w:rsidRDefault="007B614E">
      <w:pPr>
        <w:rPr>
          <w:rFonts w:ascii="Arial" w:hAnsi="Arial" w:cs="Arial"/>
          <w:sz w:val="24"/>
          <w:szCs w:val="24"/>
        </w:rPr>
      </w:pPr>
      <w:r w:rsidRPr="0052603D">
        <w:rPr>
          <w:rFonts w:ascii="Arial" w:hAnsi="Arial" w:cs="Arial"/>
          <w:sz w:val="24"/>
          <w:szCs w:val="24"/>
        </w:rPr>
        <w:t>The Authority intends that the pre-opening support will be provided from DSG reserves</w:t>
      </w:r>
      <w:r w:rsidRPr="0052603D" w:rsidR="000158AC">
        <w:rPr>
          <w:rFonts w:ascii="Arial" w:hAnsi="Arial" w:cs="Arial"/>
          <w:sz w:val="24"/>
          <w:szCs w:val="24"/>
        </w:rPr>
        <w:t xml:space="preserve"> whilst </w:t>
      </w:r>
      <w:r w:rsidRPr="0052603D">
        <w:rPr>
          <w:rFonts w:ascii="Arial" w:hAnsi="Arial" w:cs="Arial"/>
          <w:sz w:val="24"/>
          <w:szCs w:val="24"/>
        </w:rPr>
        <w:t>most of the post-opening support would be provided by adjusting the relevant schools’ pupil counts N.B. increasing the pupil counts in this way does not genera</w:t>
      </w:r>
      <w:r w:rsidRPr="0052603D" w:rsidR="008B2EBE">
        <w:rPr>
          <w:rFonts w:ascii="Arial" w:hAnsi="Arial" w:cs="Arial"/>
          <w:sz w:val="24"/>
          <w:szCs w:val="24"/>
        </w:rPr>
        <w:t>te</w:t>
      </w:r>
      <w:r w:rsidRPr="0052603D">
        <w:rPr>
          <w:rFonts w:ascii="Arial" w:hAnsi="Arial" w:cs="Arial"/>
          <w:sz w:val="24"/>
          <w:szCs w:val="24"/>
        </w:rPr>
        <w:t xml:space="preserve"> additional Schools Block funding fr</w:t>
      </w:r>
      <w:r w:rsidRPr="0052603D" w:rsidR="009211D7">
        <w:rPr>
          <w:rFonts w:ascii="Arial" w:hAnsi="Arial" w:cs="Arial"/>
          <w:sz w:val="24"/>
          <w:szCs w:val="24"/>
        </w:rPr>
        <w:t>o</w:t>
      </w:r>
      <w:r w:rsidRPr="0052603D">
        <w:rPr>
          <w:rFonts w:ascii="Arial" w:hAnsi="Arial" w:cs="Arial"/>
          <w:sz w:val="24"/>
          <w:szCs w:val="24"/>
        </w:rPr>
        <w:t>m the DfE.</w:t>
      </w:r>
      <w:r w:rsidRPr="0052603D" w:rsidR="00B33D8B">
        <w:rPr>
          <w:rFonts w:ascii="Arial" w:hAnsi="Arial" w:cs="Arial"/>
          <w:sz w:val="24"/>
          <w:szCs w:val="24"/>
        </w:rPr>
        <w:t xml:space="preserve">  </w:t>
      </w:r>
      <w:r w:rsidRPr="0052603D">
        <w:rPr>
          <w:rFonts w:ascii="Arial" w:hAnsi="Arial" w:cs="Arial"/>
          <w:sz w:val="24"/>
          <w:szCs w:val="24"/>
        </w:rPr>
        <w:t>However, it would be sensible to create a small fund to deal with any post-opening support costs that cannot be delivered through adjusting the pupil count</w:t>
      </w:r>
      <w:r w:rsidRPr="0052603D" w:rsidR="009211D7">
        <w:rPr>
          <w:rFonts w:ascii="Arial" w:hAnsi="Arial" w:cs="Arial"/>
          <w:sz w:val="24"/>
          <w:szCs w:val="24"/>
        </w:rPr>
        <w:t xml:space="preserve"> and </w:t>
      </w:r>
      <w:r w:rsidRPr="0052603D">
        <w:rPr>
          <w:rFonts w:ascii="Arial" w:hAnsi="Arial" w:cs="Arial"/>
          <w:sz w:val="24"/>
          <w:szCs w:val="24"/>
        </w:rPr>
        <w:t xml:space="preserve">to reflect other non-pupil pressures such as changes in deprivation, </w:t>
      </w:r>
      <w:r w:rsidRPr="0052603D" w:rsidR="009211D7">
        <w:rPr>
          <w:rFonts w:ascii="Arial" w:hAnsi="Arial" w:cs="Arial"/>
          <w:sz w:val="24"/>
          <w:szCs w:val="24"/>
        </w:rPr>
        <w:t xml:space="preserve">low prior </w:t>
      </w:r>
      <w:r w:rsidRPr="0052603D">
        <w:rPr>
          <w:rFonts w:ascii="Arial" w:hAnsi="Arial" w:cs="Arial"/>
          <w:sz w:val="24"/>
          <w:szCs w:val="24"/>
        </w:rPr>
        <w:t>attainment etc.</w:t>
      </w:r>
    </w:p>
    <w:p w:rsidR="007B614E" w:rsidP="00A85DC7" w:rsidRDefault="007B614E">
      <w:pPr>
        <w:rPr>
          <w:rFonts w:ascii="Arial" w:hAnsi="Arial" w:cs="Arial"/>
          <w:sz w:val="24"/>
          <w:szCs w:val="24"/>
        </w:rPr>
      </w:pPr>
    </w:p>
    <w:p w:rsidR="007C4FE2" w:rsidP="007C4FE2" w:rsidRDefault="007C4FE2">
      <w:pPr>
        <w:rPr>
          <w:rFonts w:ascii="Arial" w:hAnsi="Arial" w:cs="Arial"/>
          <w:b/>
          <w:sz w:val="24"/>
          <w:szCs w:val="24"/>
        </w:rPr>
      </w:pPr>
      <w:r>
        <w:rPr>
          <w:rFonts w:ascii="Arial" w:hAnsi="Arial" w:cs="Arial"/>
          <w:b/>
          <w:sz w:val="24"/>
          <w:szCs w:val="24"/>
        </w:rPr>
        <w:t>3.4</w:t>
      </w:r>
      <w:r>
        <w:rPr>
          <w:rFonts w:ascii="Arial" w:hAnsi="Arial" w:cs="Arial"/>
          <w:b/>
          <w:sz w:val="24"/>
          <w:szCs w:val="24"/>
        </w:rPr>
        <w:tab/>
      </w:r>
      <w:r>
        <w:rPr>
          <w:rFonts w:ascii="Arial" w:hAnsi="Arial" w:cs="Arial"/>
          <w:b/>
          <w:sz w:val="24"/>
          <w:szCs w:val="24"/>
          <w:u w:val="single"/>
        </w:rPr>
        <w:t xml:space="preserve">Falling rolls </w:t>
      </w:r>
      <w:r w:rsidRPr="00890E62">
        <w:rPr>
          <w:rFonts w:ascii="Arial" w:hAnsi="Arial" w:cs="Arial"/>
          <w:b/>
          <w:sz w:val="24"/>
          <w:szCs w:val="24"/>
          <w:u w:val="single"/>
        </w:rPr>
        <w:t>fund</w:t>
      </w:r>
      <w:r>
        <w:rPr>
          <w:rFonts w:ascii="Arial" w:hAnsi="Arial" w:cs="Arial"/>
          <w:b/>
          <w:sz w:val="24"/>
          <w:szCs w:val="24"/>
          <w:u w:val="single"/>
        </w:rPr>
        <w:t xml:space="preserve"> – good and outstanding schools</w:t>
      </w:r>
    </w:p>
    <w:p w:rsidR="007C4FE2" w:rsidP="00A85DC7" w:rsidRDefault="007C4FE2">
      <w:pPr>
        <w:rPr>
          <w:rFonts w:ascii="Arial" w:hAnsi="Arial" w:cs="Arial"/>
          <w:sz w:val="24"/>
          <w:szCs w:val="24"/>
        </w:rPr>
      </w:pPr>
    </w:p>
    <w:p w:rsidR="00885242" w:rsidP="00A85DC7" w:rsidRDefault="00B33D8B">
      <w:pPr>
        <w:rPr>
          <w:rFonts w:ascii="Arial" w:hAnsi="Arial" w:cs="Arial"/>
          <w:sz w:val="24"/>
          <w:szCs w:val="24"/>
        </w:rPr>
      </w:pPr>
      <w:r>
        <w:rPr>
          <w:rFonts w:ascii="Arial" w:hAnsi="Arial" w:cs="Arial"/>
          <w:sz w:val="24"/>
          <w:szCs w:val="24"/>
        </w:rPr>
        <w:t xml:space="preserve">LAs are already </w:t>
      </w:r>
      <w:r w:rsidRPr="00B33D8B">
        <w:rPr>
          <w:rFonts w:ascii="Arial" w:hAnsi="Arial" w:cs="Arial"/>
          <w:sz w:val="24"/>
          <w:szCs w:val="24"/>
        </w:rPr>
        <w:t xml:space="preserve">allowed to retain some funding to create a budget for good and outstanding schools with temporary falling rolls. </w:t>
      </w:r>
      <w:r>
        <w:rPr>
          <w:rFonts w:ascii="Arial" w:hAnsi="Arial" w:cs="Arial"/>
          <w:sz w:val="24"/>
          <w:szCs w:val="24"/>
        </w:rPr>
        <w:t xml:space="preserve">However, </w:t>
      </w:r>
      <w:r w:rsidR="00885242">
        <w:rPr>
          <w:rFonts w:ascii="Arial" w:hAnsi="Arial" w:cs="Arial"/>
          <w:sz w:val="24"/>
          <w:szCs w:val="24"/>
        </w:rPr>
        <w:t xml:space="preserve">to date </w:t>
      </w:r>
      <w:r>
        <w:rPr>
          <w:rFonts w:ascii="Arial" w:hAnsi="Arial" w:cs="Arial"/>
          <w:sz w:val="24"/>
          <w:szCs w:val="24"/>
        </w:rPr>
        <w:t>Derbyshire has not utilised this provision as it has previously considered that</w:t>
      </w:r>
      <w:r w:rsidR="009211D7">
        <w:rPr>
          <w:rFonts w:ascii="Arial" w:hAnsi="Arial" w:cs="Arial"/>
          <w:sz w:val="24"/>
          <w:szCs w:val="24"/>
        </w:rPr>
        <w:t xml:space="preserve">: </w:t>
      </w:r>
      <w:r>
        <w:rPr>
          <w:rFonts w:ascii="Arial" w:hAnsi="Arial" w:cs="Arial"/>
          <w:sz w:val="24"/>
          <w:szCs w:val="24"/>
        </w:rPr>
        <w:t xml:space="preserve">(a) schools with falling rolls should instead request a licenced deficit to help manage </w:t>
      </w:r>
      <w:r w:rsidR="00885242">
        <w:rPr>
          <w:rFonts w:ascii="Arial" w:hAnsi="Arial" w:cs="Arial"/>
          <w:sz w:val="24"/>
          <w:szCs w:val="24"/>
        </w:rPr>
        <w:t xml:space="preserve">their </w:t>
      </w:r>
      <w:r>
        <w:rPr>
          <w:rFonts w:ascii="Arial" w:hAnsi="Arial" w:cs="Arial"/>
          <w:sz w:val="24"/>
          <w:szCs w:val="24"/>
        </w:rPr>
        <w:t>reduction</w:t>
      </w:r>
      <w:r w:rsidR="009211D7">
        <w:rPr>
          <w:rFonts w:ascii="Arial" w:hAnsi="Arial" w:cs="Arial"/>
          <w:sz w:val="24"/>
          <w:szCs w:val="24"/>
        </w:rPr>
        <w:t>s</w:t>
      </w:r>
      <w:r>
        <w:rPr>
          <w:rFonts w:ascii="Arial" w:hAnsi="Arial" w:cs="Arial"/>
          <w:sz w:val="24"/>
          <w:szCs w:val="24"/>
        </w:rPr>
        <w:t xml:space="preserve"> in spend</w:t>
      </w:r>
      <w:r w:rsidR="009211D7">
        <w:rPr>
          <w:rFonts w:ascii="Arial" w:hAnsi="Arial" w:cs="Arial"/>
          <w:sz w:val="24"/>
          <w:szCs w:val="24"/>
        </w:rPr>
        <w:t>;</w:t>
      </w:r>
      <w:r>
        <w:rPr>
          <w:rFonts w:ascii="Arial" w:hAnsi="Arial" w:cs="Arial"/>
          <w:sz w:val="24"/>
          <w:szCs w:val="24"/>
        </w:rPr>
        <w:t xml:space="preserve"> and (b) the requirement for a school to be categorised as good or outstanding before it could receive support was felt to be </w:t>
      </w:r>
      <w:r w:rsidR="000158AC">
        <w:rPr>
          <w:rFonts w:ascii="Arial" w:hAnsi="Arial" w:cs="Arial"/>
          <w:sz w:val="24"/>
          <w:szCs w:val="24"/>
        </w:rPr>
        <w:t>restrictive</w:t>
      </w:r>
      <w:r>
        <w:rPr>
          <w:rFonts w:ascii="Arial" w:hAnsi="Arial" w:cs="Arial"/>
          <w:sz w:val="24"/>
          <w:szCs w:val="24"/>
        </w:rPr>
        <w:t>.</w:t>
      </w:r>
      <w:r w:rsidR="00B05865">
        <w:rPr>
          <w:rFonts w:ascii="Arial" w:hAnsi="Arial" w:cs="Arial"/>
          <w:sz w:val="24"/>
          <w:szCs w:val="24"/>
        </w:rPr>
        <w:t xml:space="preserve"> </w:t>
      </w:r>
    </w:p>
    <w:p w:rsidR="00885242" w:rsidP="00A85DC7" w:rsidRDefault="00885242">
      <w:pPr>
        <w:rPr>
          <w:rFonts w:ascii="Arial" w:hAnsi="Arial" w:cs="Arial"/>
          <w:sz w:val="24"/>
          <w:szCs w:val="24"/>
        </w:rPr>
      </w:pPr>
    </w:p>
    <w:p w:rsidR="00B33D8B" w:rsidP="00A85DC7" w:rsidRDefault="00B33D8B">
      <w:pPr>
        <w:rPr>
          <w:rFonts w:ascii="Arial" w:hAnsi="Arial" w:cs="Arial"/>
          <w:sz w:val="24"/>
          <w:szCs w:val="24"/>
        </w:rPr>
      </w:pPr>
      <w:r>
        <w:rPr>
          <w:rFonts w:ascii="Arial" w:hAnsi="Arial" w:cs="Arial"/>
          <w:sz w:val="24"/>
          <w:szCs w:val="24"/>
        </w:rPr>
        <w:t xml:space="preserve">The Authority </w:t>
      </w:r>
      <w:r w:rsidR="00B05865">
        <w:rPr>
          <w:rFonts w:ascii="Arial" w:hAnsi="Arial" w:cs="Arial"/>
          <w:sz w:val="24"/>
          <w:szCs w:val="24"/>
        </w:rPr>
        <w:t xml:space="preserve">is not minded to </w:t>
      </w:r>
      <w:r>
        <w:rPr>
          <w:rFonts w:ascii="Arial" w:hAnsi="Arial" w:cs="Arial"/>
          <w:sz w:val="24"/>
          <w:szCs w:val="24"/>
        </w:rPr>
        <w:t xml:space="preserve">create a falling rolls fund at this time as the above reasons are still valid and the creation of the fund would require a further reduction in the value of the formula </w:t>
      </w:r>
      <w:r>
        <w:rPr>
          <w:rFonts w:ascii="Arial" w:hAnsi="Arial" w:cs="Arial"/>
          <w:sz w:val="24"/>
          <w:szCs w:val="24"/>
        </w:rPr>
        <w:lastRenderedPageBreak/>
        <w:t>multipliers.</w:t>
      </w:r>
      <w:r w:rsidR="00B05865">
        <w:rPr>
          <w:rFonts w:ascii="Arial" w:hAnsi="Arial" w:cs="Arial"/>
          <w:sz w:val="24"/>
          <w:szCs w:val="24"/>
        </w:rPr>
        <w:t xml:space="preserve"> However, </w:t>
      </w:r>
      <w:r w:rsidR="00885242">
        <w:rPr>
          <w:rFonts w:ascii="Arial" w:hAnsi="Arial" w:cs="Arial"/>
          <w:sz w:val="24"/>
          <w:szCs w:val="24"/>
        </w:rPr>
        <w:t xml:space="preserve">as </w:t>
      </w:r>
      <w:r w:rsidR="00B05865">
        <w:rPr>
          <w:rFonts w:ascii="Arial" w:hAnsi="Arial" w:cs="Arial"/>
          <w:sz w:val="24"/>
          <w:szCs w:val="24"/>
        </w:rPr>
        <w:t xml:space="preserve">it is some years since </w:t>
      </w:r>
      <w:r w:rsidR="00885242">
        <w:rPr>
          <w:rFonts w:ascii="Arial" w:hAnsi="Arial" w:cs="Arial"/>
          <w:sz w:val="24"/>
          <w:szCs w:val="24"/>
        </w:rPr>
        <w:t xml:space="preserve">this position was </w:t>
      </w:r>
      <w:r w:rsidR="00B05865">
        <w:rPr>
          <w:rFonts w:ascii="Arial" w:hAnsi="Arial" w:cs="Arial"/>
          <w:sz w:val="24"/>
          <w:szCs w:val="24"/>
        </w:rPr>
        <w:t>adopted</w:t>
      </w:r>
      <w:r w:rsidR="00A061B2">
        <w:rPr>
          <w:rFonts w:ascii="Arial" w:hAnsi="Arial" w:cs="Arial"/>
          <w:sz w:val="24"/>
          <w:szCs w:val="24"/>
        </w:rPr>
        <w:t>,</w:t>
      </w:r>
      <w:r w:rsidR="00B05865">
        <w:rPr>
          <w:rFonts w:ascii="Arial" w:hAnsi="Arial" w:cs="Arial"/>
          <w:sz w:val="24"/>
          <w:szCs w:val="24"/>
        </w:rPr>
        <w:t xml:space="preserve"> </w:t>
      </w:r>
      <w:r w:rsidR="00885242">
        <w:rPr>
          <w:rFonts w:ascii="Arial" w:hAnsi="Arial" w:cs="Arial"/>
          <w:sz w:val="24"/>
          <w:szCs w:val="24"/>
        </w:rPr>
        <w:t xml:space="preserve">the LA would </w:t>
      </w:r>
      <w:r w:rsidR="00B05865">
        <w:rPr>
          <w:rFonts w:ascii="Arial" w:hAnsi="Arial" w:cs="Arial"/>
          <w:sz w:val="24"/>
          <w:szCs w:val="24"/>
        </w:rPr>
        <w:t xml:space="preserve">welcome the views of schools </w:t>
      </w:r>
      <w:r w:rsidR="00885242">
        <w:rPr>
          <w:rFonts w:ascii="Arial" w:hAnsi="Arial" w:cs="Arial"/>
          <w:sz w:val="24"/>
          <w:szCs w:val="24"/>
        </w:rPr>
        <w:t xml:space="preserve">and academies </w:t>
      </w:r>
      <w:r w:rsidR="00B05865">
        <w:rPr>
          <w:rFonts w:ascii="Arial" w:hAnsi="Arial" w:cs="Arial"/>
          <w:sz w:val="24"/>
          <w:szCs w:val="24"/>
        </w:rPr>
        <w:t>on th</w:t>
      </w:r>
      <w:r w:rsidR="00885242">
        <w:rPr>
          <w:rFonts w:ascii="Arial" w:hAnsi="Arial" w:cs="Arial"/>
          <w:sz w:val="24"/>
          <w:szCs w:val="24"/>
        </w:rPr>
        <w:t xml:space="preserve">is </w:t>
      </w:r>
      <w:r w:rsidR="00B05865">
        <w:rPr>
          <w:rFonts w:ascii="Arial" w:hAnsi="Arial" w:cs="Arial"/>
          <w:sz w:val="24"/>
          <w:szCs w:val="24"/>
        </w:rPr>
        <w:t>issue</w:t>
      </w:r>
      <w:r w:rsidR="00885242">
        <w:rPr>
          <w:rFonts w:ascii="Arial" w:hAnsi="Arial" w:cs="Arial"/>
          <w:sz w:val="24"/>
          <w:szCs w:val="24"/>
        </w:rPr>
        <w:t xml:space="preserve"> once more</w:t>
      </w:r>
      <w:r w:rsidR="00B05865">
        <w:rPr>
          <w:rFonts w:ascii="Arial" w:hAnsi="Arial" w:cs="Arial"/>
          <w:sz w:val="24"/>
          <w:szCs w:val="24"/>
        </w:rPr>
        <w:t>.</w:t>
      </w:r>
    </w:p>
    <w:p w:rsidR="00A457CB" w:rsidP="00A85DC7" w:rsidRDefault="00A457CB">
      <w:pPr>
        <w:rPr>
          <w:rFonts w:ascii="Arial" w:hAnsi="Arial" w:cs="Arial"/>
          <w:sz w:val="24"/>
          <w:szCs w:val="24"/>
        </w:rPr>
      </w:pPr>
    </w:p>
    <w:p w:rsidR="006071AD" w:rsidP="00A85DC7" w:rsidRDefault="00D456B1">
      <w:pPr>
        <w:rPr>
          <w:rFonts w:ascii="Arial" w:hAnsi="Arial" w:cs="Arial"/>
          <w:b/>
          <w:sz w:val="24"/>
          <w:szCs w:val="24"/>
        </w:rPr>
      </w:pPr>
      <w:r>
        <w:rPr>
          <w:rFonts w:ascii="Arial" w:hAnsi="Arial" w:cs="Arial"/>
          <w:b/>
          <w:sz w:val="24"/>
          <w:szCs w:val="24"/>
        </w:rPr>
        <w:t>4.</w:t>
      </w:r>
      <w:r>
        <w:rPr>
          <w:rFonts w:ascii="Arial" w:hAnsi="Arial" w:cs="Arial"/>
          <w:b/>
          <w:sz w:val="24"/>
          <w:szCs w:val="24"/>
        </w:rPr>
        <w:tab/>
      </w:r>
      <w:r w:rsidRPr="00D456B1" w:rsidR="00A93D72">
        <w:rPr>
          <w:rFonts w:ascii="Arial" w:hAnsi="Arial" w:cs="Arial"/>
          <w:b/>
          <w:sz w:val="24"/>
          <w:szCs w:val="24"/>
          <w:u w:val="single"/>
        </w:rPr>
        <w:t>Consultation questions</w:t>
      </w:r>
    </w:p>
    <w:p w:rsidR="00180556" w:rsidP="00C10E19" w:rsidRDefault="00180556">
      <w:pPr>
        <w:rPr>
          <w:rFonts w:ascii="Arial" w:hAnsi="Arial" w:cs="Arial"/>
          <w:sz w:val="24"/>
          <w:szCs w:val="24"/>
        </w:rPr>
      </w:pPr>
    </w:p>
    <w:p w:rsidR="00D456B1" w:rsidP="007352B5" w:rsidRDefault="00D456B1">
      <w:pPr>
        <w:rPr>
          <w:rFonts w:ascii="Arial" w:hAnsi="Arial" w:cs="Arial"/>
          <w:sz w:val="24"/>
          <w:szCs w:val="24"/>
        </w:rPr>
      </w:pPr>
      <w:r>
        <w:rPr>
          <w:rFonts w:ascii="Arial" w:hAnsi="Arial" w:cs="Arial"/>
          <w:sz w:val="24"/>
          <w:szCs w:val="24"/>
        </w:rPr>
        <w:t>Q1</w:t>
      </w:r>
      <w:r w:rsidR="00A66706">
        <w:rPr>
          <w:rFonts w:ascii="Arial" w:hAnsi="Arial" w:cs="Arial"/>
          <w:sz w:val="24"/>
          <w:szCs w:val="24"/>
        </w:rPr>
        <w:t>.</w:t>
      </w:r>
      <w:r>
        <w:rPr>
          <w:rFonts w:ascii="Arial" w:hAnsi="Arial" w:cs="Arial"/>
          <w:sz w:val="24"/>
          <w:szCs w:val="24"/>
        </w:rPr>
        <w:tab/>
        <w:t>Do you agree with the proposed introduction of the NFF as set out in section 2.4?</w:t>
      </w:r>
    </w:p>
    <w:p w:rsidR="00D456B1" w:rsidP="007352B5" w:rsidRDefault="00D456B1">
      <w:pPr>
        <w:rPr>
          <w:rFonts w:ascii="Arial" w:hAnsi="Arial" w:cs="Arial"/>
          <w:sz w:val="24"/>
          <w:szCs w:val="24"/>
        </w:rPr>
      </w:pPr>
    </w:p>
    <w:p w:rsidR="000A0403" w:rsidP="000A0403" w:rsidRDefault="000A0403">
      <w:pPr>
        <w:ind w:left="720" w:hanging="720"/>
        <w:rPr>
          <w:rFonts w:ascii="Arial" w:hAnsi="Arial" w:cs="Arial"/>
          <w:sz w:val="24"/>
          <w:szCs w:val="24"/>
        </w:rPr>
      </w:pPr>
      <w:r>
        <w:rPr>
          <w:rFonts w:ascii="Arial" w:hAnsi="Arial" w:cs="Arial"/>
          <w:sz w:val="24"/>
          <w:szCs w:val="24"/>
        </w:rPr>
        <w:t>Q2.</w:t>
      </w:r>
      <w:r>
        <w:rPr>
          <w:rFonts w:ascii="Arial" w:hAnsi="Arial" w:cs="Arial"/>
          <w:sz w:val="24"/>
          <w:szCs w:val="24"/>
        </w:rPr>
        <w:tab/>
        <w:t xml:space="preserve">If the answer to Q1 is no, what </w:t>
      </w:r>
      <w:r w:rsidR="001221FC">
        <w:rPr>
          <w:rFonts w:ascii="Arial" w:hAnsi="Arial" w:cs="Arial"/>
          <w:sz w:val="24"/>
          <w:szCs w:val="24"/>
        </w:rPr>
        <w:t xml:space="preserve">other </w:t>
      </w:r>
      <w:r>
        <w:rPr>
          <w:rFonts w:ascii="Arial" w:hAnsi="Arial" w:cs="Arial"/>
          <w:sz w:val="24"/>
          <w:szCs w:val="24"/>
        </w:rPr>
        <w:t>changes should the LA make as part of the transition to the NFF instead?</w:t>
      </w:r>
    </w:p>
    <w:p w:rsidR="000A0403" w:rsidP="007352B5" w:rsidRDefault="000A0403">
      <w:pPr>
        <w:rPr>
          <w:rFonts w:ascii="Arial" w:hAnsi="Arial" w:cs="Arial"/>
          <w:sz w:val="24"/>
          <w:szCs w:val="24"/>
        </w:rPr>
      </w:pPr>
    </w:p>
    <w:p w:rsidR="00D456B1" w:rsidP="007352B5" w:rsidRDefault="00D456B1">
      <w:pPr>
        <w:rPr>
          <w:rFonts w:ascii="Arial" w:hAnsi="Arial" w:cs="Arial"/>
          <w:sz w:val="24"/>
          <w:szCs w:val="24"/>
        </w:rPr>
      </w:pPr>
      <w:r>
        <w:rPr>
          <w:rFonts w:ascii="Arial" w:hAnsi="Arial" w:cs="Arial"/>
          <w:sz w:val="24"/>
          <w:szCs w:val="24"/>
        </w:rPr>
        <w:t>Q</w:t>
      </w:r>
      <w:r w:rsidR="000A0403">
        <w:rPr>
          <w:rFonts w:ascii="Arial" w:hAnsi="Arial" w:cs="Arial"/>
          <w:sz w:val="24"/>
          <w:szCs w:val="24"/>
        </w:rPr>
        <w:t>3</w:t>
      </w:r>
      <w:r w:rsidR="00A66706">
        <w:rPr>
          <w:rFonts w:ascii="Arial" w:hAnsi="Arial" w:cs="Arial"/>
          <w:sz w:val="24"/>
          <w:szCs w:val="24"/>
        </w:rPr>
        <w:t>.</w:t>
      </w:r>
      <w:r>
        <w:rPr>
          <w:rFonts w:ascii="Arial" w:hAnsi="Arial" w:cs="Arial"/>
          <w:sz w:val="24"/>
          <w:szCs w:val="24"/>
        </w:rPr>
        <w:tab/>
        <w:t xml:space="preserve">Do you agree with the proposed MFG per pupil of </w:t>
      </w:r>
      <w:r w:rsidR="00795E5D">
        <w:rPr>
          <w:rFonts w:ascii="Arial" w:hAnsi="Arial" w:cs="Arial"/>
          <w:sz w:val="24"/>
          <w:szCs w:val="24"/>
        </w:rPr>
        <w:t>plus 0.5% per pupil</w:t>
      </w:r>
      <w:r w:rsidR="00B52892">
        <w:rPr>
          <w:rFonts w:ascii="Arial" w:hAnsi="Arial" w:cs="Arial"/>
          <w:sz w:val="24"/>
          <w:szCs w:val="24"/>
        </w:rPr>
        <w:t xml:space="preserve"> (section 2.4)</w:t>
      </w:r>
      <w:r w:rsidR="00A66706">
        <w:rPr>
          <w:rFonts w:ascii="Arial" w:hAnsi="Arial" w:cs="Arial"/>
          <w:sz w:val="24"/>
          <w:szCs w:val="24"/>
        </w:rPr>
        <w:t>?</w:t>
      </w:r>
    </w:p>
    <w:p w:rsidR="00D456B1" w:rsidP="007352B5" w:rsidRDefault="00D456B1">
      <w:pPr>
        <w:rPr>
          <w:rFonts w:ascii="Arial" w:hAnsi="Arial" w:cs="Arial"/>
          <w:sz w:val="24"/>
          <w:szCs w:val="24"/>
        </w:rPr>
      </w:pPr>
    </w:p>
    <w:p w:rsidR="00D456B1" w:rsidP="007352B5" w:rsidRDefault="00D456B1">
      <w:pPr>
        <w:rPr>
          <w:rFonts w:ascii="Arial" w:hAnsi="Arial" w:cs="Arial"/>
          <w:sz w:val="24"/>
          <w:szCs w:val="24"/>
        </w:rPr>
      </w:pPr>
      <w:r>
        <w:rPr>
          <w:rFonts w:ascii="Arial" w:hAnsi="Arial" w:cs="Arial"/>
          <w:sz w:val="24"/>
          <w:szCs w:val="24"/>
        </w:rPr>
        <w:t>Q</w:t>
      </w:r>
      <w:r w:rsidR="000A0403">
        <w:rPr>
          <w:rFonts w:ascii="Arial" w:hAnsi="Arial" w:cs="Arial"/>
          <w:sz w:val="24"/>
          <w:szCs w:val="24"/>
        </w:rPr>
        <w:t>4</w:t>
      </w:r>
      <w:r w:rsidR="00A66706">
        <w:rPr>
          <w:rFonts w:ascii="Arial" w:hAnsi="Arial" w:cs="Arial"/>
          <w:sz w:val="24"/>
          <w:szCs w:val="24"/>
        </w:rPr>
        <w:t>a</w:t>
      </w:r>
      <w:r>
        <w:rPr>
          <w:rFonts w:ascii="Arial" w:hAnsi="Arial" w:cs="Arial"/>
          <w:sz w:val="24"/>
          <w:szCs w:val="24"/>
        </w:rPr>
        <w:t xml:space="preserve">. </w:t>
      </w:r>
      <w:r>
        <w:rPr>
          <w:rFonts w:ascii="Arial" w:hAnsi="Arial" w:cs="Arial"/>
          <w:sz w:val="24"/>
          <w:szCs w:val="24"/>
        </w:rPr>
        <w:tab/>
        <w:t>If your answer to Q</w:t>
      </w:r>
      <w:r w:rsidR="000A0403">
        <w:rPr>
          <w:rFonts w:ascii="Arial" w:hAnsi="Arial" w:cs="Arial"/>
          <w:sz w:val="24"/>
          <w:szCs w:val="24"/>
        </w:rPr>
        <w:t>3</w:t>
      </w:r>
      <w:r>
        <w:rPr>
          <w:rFonts w:ascii="Arial" w:hAnsi="Arial" w:cs="Arial"/>
          <w:sz w:val="24"/>
          <w:szCs w:val="24"/>
        </w:rPr>
        <w:t xml:space="preserve"> was no, </w:t>
      </w:r>
      <w:r w:rsidR="002868BC">
        <w:rPr>
          <w:rFonts w:ascii="Arial" w:hAnsi="Arial" w:cs="Arial"/>
          <w:sz w:val="24"/>
          <w:szCs w:val="24"/>
        </w:rPr>
        <w:t>what figure should apply instead</w:t>
      </w:r>
      <w:r w:rsidR="00A66706">
        <w:rPr>
          <w:rFonts w:ascii="Arial" w:hAnsi="Arial" w:cs="Arial"/>
          <w:sz w:val="24"/>
          <w:szCs w:val="24"/>
        </w:rPr>
        <w:t>?</w:t>
      </w:r>
    </w:p>
    <w:p w:rsidR="005D7324" w:rsidP="007352B5" w:rsidRDefault="005D7324">
      <w:pPr>
        <w:rPr>
          <w:rFonts w:ascii="Arial" w:hAnsi="Arial" w:cs="Arial"/>
          <w:sz w:val="24"/>
          <w:szCs w:val="24"/>
        </w:rPr>
      </w:pPr>
    </w:p>
    <w:p w:rsidR="00A66706" w:rsidP="007352B5" w:rsidRDefault="00A66706">
      <w:pPr>
        <w:rPr>
          <w:rFonts w:ascii="Arial" w:hAnsi="Arial" w:cs="Arial"/>
          <w:sz w:val="24"/>
          <w:szCs w:val="24"/>
        </w:rPr>
      </w:pPr>
      <w:r>
        <w:rPr>
          <w:rFonts w:ascii="Arial" w:hAnsi="Arial" w:cs="Arial"/>
          <w:sz w:val="24"/>
          <w:szCs w:val="24"/>
        </w:rPr>
        <w:t>Q</w:t>
      </w:r>
      <w:r w:rsidR="000A0403">
        <w:rPr>
          <w:rFonts w:ascii="Arial" w:hAnsi="Arial" w:cs="Arial"/>
          <w:sz w:val="24"/>
          <w:szCs w:val="24"/>
        </w:rPr>
        <w:t>4</w:t>
      </w:r>
      <w:r>
        <w:rPr>
          <w:rFonts w:ascii="Arial" w:hAnsi="Arial" w:cs="Arial"/>
          <w:sz w:val="24"/>
          <w:szCs w:val="24"/>
        </w:rPr>
        <w:t>b.</w:t>
      </w:r>
      <w:r>
        <w:rPr>
          <w:rFonts w:ascii="Arial" w:hAnsi="Arial" w:cs="Arial"/>
          <w:sz w:val="24"/>
          <w:szCs w:val="24"/>
        </w:rPr>
        <w:tab/>
      </w:r>
      <w:r w:rsidR="00B05865">
        <w:rPr>
          <w:rFonts w:ascii="Arial" w:hAnsi="Arial" w:cs="Arial"/>
          <w:sz w:val="24"/>
          <w:szCs w:val="24"/>
        </w:rPr>
        <w:t>If appropriate, p</w:t>
      </w:r>
      <w:r>
        <w:rPr>
          <w:rFonts w:ascii="Arial" w:hAnsi="Arial" w:cs="Arial"/>
          <w:sz w:val="24"/>
          <w:szCs w:val="24"/>
        </w:rPr>
        <w:t>lease give a reason for your answer to Q</w:t>
      </w:r>
      <w:r w:rsidR="000A0403">
        <w:rPr>
          <w:rFonts w:ascii="Arial" w:hAnsi="Arial" w:cs="Arial"/>
          <w:sz w:val="24"/>
          <w:szCs w:val="24"/>
        </w:rPr>
        <w:t>4</w:t>
      </w:r>
      <w:r>
        <w:rPr>
          <w:rFonts w:ascii="Arial" w:hAnsi="Arial" w:cs="Arial"/>
          <w:sz w:val="24"/>
          <w:szCs w:val="24"/>
        </w:rPr>
        <w:t>a</w:t>
      </w:r>
    </w:p>
    <w:p w:rsidR="00A66706" w:rsidP="007352B5" w:rsidRDefault="00A66706">
      <w:pPr>
        <w:rPr>
          <w:rFonts w:ascii="Arial" w:hAnsi="Arial" w:cs="Arial"/>
          <w:sz w:val="24"/>
          <w:szCs w:val="24"/>
        </w:rPr>
      </w:pPr>
    </w:p>
    <w:p w:rsidRPr="00FE142C" w:rsidR="00A66706" w:rsidP="007352B5" w:rsidRDefault="00DD2FDC">
      <w:pPr>
        <w:ind w:left="720" w:hanging="720"/>
        <w:rPr>
          <w:rFonts w:ascii="Arial" w:hAnsi="Arial" w:cs="Arial"/>
          <w:sz w:val="24"/>
          <w:szCs w:val="24"/>
        </w:rPr>
      </w:pPr>
      <w:r>
        <w:rPr>
          <w:rFonts w:ascii="Arial" w:hAnsi="Arial" w:cs="Arial"/>
          <w:sz w:val="24"/>
          <w:szCs w:val="24"/>
        </w:rPr>
        <w:t>Q</w:t>
      </w:r>
      <w:r w:rsidR="00A66706">
        <w:rPr>
          <w:rFonts w:ascii="Arial" w:hAnsi="Arial" w:cs="Arial"/>
          <w:sz w:val="24"/>
          <w:szCs w:val="24"/>
        </w:rPr>
        <w:t>5.</w:t>
      </w:r>
      <w:r w:rsidR="00A66706">
        <w:rPr>
          <w:rFonts w:ascii="Arial" w:hAnsi="Arial" w:cs="Arial"/>
          <w:sz w:val="24"/>
          <w:szCs w:val="24"/>
        </w:rPr>
        <w:tab/>
        <w:t xml:space="preserve">Do you agree that no </w:t>
      </w:r>
      <w:r w:rsidRPr="00FE142C" w:rsidR="00A66706">
        <w:rPr>
          <w:rFonts w:ascii="Arial" w:hAnsi="Arial" w:cs="Arial"/>
          <w:sz w:val="24"/>
          <w:szCs w:val="24"/>
        </w:rPr>
        <w:t>transfer from the Schools Block should be made for 2018-19</w:t>
      </w:r>
      <w:r w:rsidRPr="00FE142C" w:rsidR="00B52892">
        <w:rPr>
          <w:rFonts w:ascii="Arial" w:hAnsi="Arial" w:cs="Arial"/>
          <w:sz w:val="24"/>
          <w:szCs w:val="24"/>
        </w:rPr>
        <w:t xml:space="preserve"> (section 3.1)</w:t>
      </w:r>
      <w:r w:rsidRPr="00FE142C" w:rsidR="00A66706">
        <w:rPr>
          <w:rFonts w:ascii="Arial" w:hAnsi="Arial" w:cs="Arial"/>
          <w:sz w:val="24"/>
          <w:szCs w:val="24"/>
        </w:rPr>
        <w:t>?</w:t>
      </w:r>
    </w:p>
    <w:p w:rsidRPr="00FE142C" w:rsidR="00B05865" w:rsidP="007352B5" w:rsidRDefault="00B05865">
      <w:pPr>
        <w:ind w:left="720" w:hanging="720"/>
        <w:rPr>
          <w:rFonts w:ascii="Arial" w:hAnsi="Arial" w:cs="Arial"/>
          <w:sz w:val="24"/>
          <w:szCs w:val="24"/>
        </w:rPr>
      </w:pPr>
    </w:p>
    <w:p w:rsidRPr="00FE142C" w:rsidR="00B05865" w:rsidP="007352B5" w:rsidRDefault="00B05865">
      <w:pPr>
        <w:ind w:left="720" w:hanging="720"/>
        <w:rPr>
          <w:rFonts w:ascii="Arial" w:hAnsi="Arial" w:cs="Arial"/>
          <w:sz w:val="24"/>
          <w:szCs w:val="24"/>
        </w:rPr>
      </w:pPr>
      <w:r w:rsidRPr="00FE142C">
        <w:rPr>
          <w:rFonts w:ascii="Arial" w:hAnsi="Arial" w:cs="Arial"/>
          <w:sz w:val="24"/>
          <w:szCs w:val="24"/>
        </w:rPr>
        <w:t>Q6.</w:t>
      </w:r>
      <w:r w:rsidRPr="00FE142C">
        <w:rPr>
          <w:rFonts w:ascii="Arial" w:hAnsi="Arial" w:cs="Arial"/>
          <w:sz w:val="24"/>
          <w:szCs w:val="24"/>
        </w:rPr>
        <w:tab/>
      </w:r>
      <w:r w:rsidRPr="00FE142C" w:rsidR="00FE142C">
        <w:rPr>
          <w:rFonts w:ascii="Arial" w:hAnsi="Arial" w:cs="Arial"/>
          <w:sz w:val="24"/>
          <w:szCs w:val="24"/>
        </w:rPr>
        <w:t xml:space="preserve">Please let us have your views on the creation of a growth fund to support </w:t>
      </w:r>
      <w:r w:rsidRPr="00FE142C">
        <w:rPr>
          <w:rFonts w:ascii="Arial" w:hAnsi="Arial" w:cs="Arial"/>
          <w:sz w:val="24"/>
          <w:szCs w:val="24"/>
        </w:rPr>
        <w:t>academies that experience an in-</w:t>
      </w:r>
      <w:r w:rsidRPr="009A4DF8">
        <w:rPr>
          <w:rFonts w:ascii="Arial" w:hAnsi="Arial" w:cs="Arial"/>
          <w:sz w:val="24"/>
          <w:szCs w:val="24"/>
        </w:rPr>
        <w:t>year increase in pupil numbers</w:t>
      </w:r>
      <w:r w:rsidRPr="009A4DF8" w:rsidR="00B52892">
        <w:rPr>
          <w:rFonts w:ascii="Arial" w:hAnsi="Arial" w:cs="Arial"/>
          <w:sz w:val="24"/>
          <w:szCs w:val="24"/>
        </w:rPr>
        <w:t xml:space="preserve"> </w:t>
      </w:r>
      <w:r w:rsidRPr="009A4DF8" w:rsidR="009A4DF8">
        <w:rPr>
          <w:rFonts w:ascii="Arial" w:hAnsi="Arial" w:cs="Arial"/>
          <w:sz w:val="24"/>
          <w:szCs w:val="24"/>
        </w:rPr>
        <w:t xml:space="preserve">as a result of the LA directing an academy to admit additional children </w:t>
      </w:r>
      <w:r w:rsidRPr="009A4DF8" w:rsidR="00B52892">
        <w:rPr>
          <w:rFonts w:ascii="Arial" w:hAnsi="Arial" w:cs="Arial"/>
          <w:sz w:val="24"/>
          <w:szCs w:val="24"/>
        </w:rPr>
        <w:t>(section 3.2)</w:t>
      </w:r>
      <w:r w:rsidRPr="009A4DF8">
        <w:rPr>
          <w:rFonts w:ascii="Arial" w:hAnsi="Arial" w:cs="Arial"/>
          <w:sz w:val="24"/>
          <w:szCs w:val="24"/>
        </w:rPr>
        <w:t>?</w:t>
      </w:r>
    </w:p>
    <w:p w:rsidRPr="00FE142C" w:rsidR="00B05865" w:rsidP="007352B5" w:rsidRDefault="00B05865">
      <w:pPr>
        <w:ind w:left="720" w:hanging="720"/>
        <w:rPr>
          <w:rFonts w:ascii="Arial" w:hAnsi="Arial" w:cs="Arial"/>
          <w:sz w:val="24"/>
          <w:szCs w:val="24"/>
        </w:rPr>
      </w:pPr>
    </w:p>
    <w:p w:rsidRPr="00FE142C" w:rsidR="00B05865" w:rsidP="007352B5" w:rsidRDefault="00B05865">
      <w:pPr>
        <w:ind w:left="720" w:hanging="720"/>
        <w:rPr>
          <w:rFonts w:ascii="Arial" w:hAnsi="Arial" w:cs="Arial"/>
          <w:sz w:val="24"/>
          <w:szCs w:val="24"/>
        </w:rPr>
      </w:pPr>
      <w:r w:rsidRPr="00FE142C">
        <w:rPr>
          <w:rFonts w:ascii="Arial" w:hAnsi="Arial" w:cs="Arial"/>
          <w:sz w:val="24"/>
          <w:szCs w:val="24"/>
        </w:rPr>
        <w:t>Q6</w:t>
      </w:r>
      <w:r w:rsidR="000A0403">
        <w:rPr>
          <w:rFonts w:ascii="Arial" w:hAnsi="Arial" w:cs="Arial"/>
          <w:sz w:val="24"/>
          <w:szCs w:val="24"/>
        </w:rPr>
        <w:t>a</w:t>
      </w:r>
      <w:r w:rsidRPr="00FE142C">
        <w:rPr>
          <w:rFonts w:ascii="Arial" w:hAnsi="Arial" w:cs="Arial"/>
          <w:sz w:val="24"/>
          <w:szCs w:val="24"/>
        </w:rPr>
        <w:t>.</w:t>
      </w:r>
      <w:r w:rsidRPr="00FE142C">
        <w:rPr>
          <w:rFonts w:ascii="Arial" w:hAnsi="Arial" w:cs="Arial"/>
          <w:sz w:val="24"/>
          <w:szCs w:val="24"/>
        </w:rPr>
        <w:tab/>
      </w:r>
      <w:r w:rsidRPr="00FE142C" w:rsidR="00FE142C">
        <w:rPr>
          <w:rFonts w:ascii="Arial" w:hAnsi="Arial" w:cs="Arial"/>
          <w:sz w:val="24"/>
          <w:szCs w:val="24"/>
        </w:rPr>
        <w:t>Based on your response to Q6, would you be prepared to see a reduction in the multipliers in Appendix 1 to create this fund</w:t>
      </w:r>
      <w:r w:rsidRPr="00FE142C">
        <w:rPr>
          <w:rFonts w:ascii="Arial" w:hAnsi="Arial" w:cs="Arial"/>
          <w:sz w:val="24"/>
          <w:szCs w:val="24"/>
        </w:rPr>
        <w:t>?</w:t>
      </w:r>
    </w:p>
    <w:p w:rsidRPr="00FE142C" w:rsidR="00B05865" w:rsidP="007352B5" w:rsidRDefault="00B05865">
      <w:pPr>
        <w:ind w:left="720" w:hanging="720"/>
        <w:rPr>
          <w:rFonts w:ascii="Arial" w:hAnsi="Arial" w:cs="Arial"/>
          <w:sz w:val="24"/>
          <w:szCs w:val="24"/>
        </w:rPr>
      </w:pPr>
    </w:p>
    <w:p w:rsidRPr="00FE142C" w:rsidR="00A457CB" w:rsidP="00A457CB" w:rsidRDefault="00B05865">
      <w:pPr>
        <w:ind w:left="720" w:hanging="720"/>
        <w:rPr>
          <w:rFonts w:ascii="Arial" w:hAnsi="Arial" w:cs="Arial"/>
          <w:sz w:val="24"/>
          <w:szCs w:val="24"/>
        </w:rPr>
      </w:pPr>
      <w:r w:rsidRPr="00FE142C">
        <w:rPr>
          <w:rFonts w:ascii="Arial" w:hAnsi="Arial" w:cs="Arial"/>
          <w:sz w:val="24"/>
          <w:szCs w:val="24"/>
        </w:rPr>
        <w:t>Q7.</w:t>
      </w:r>
      <w:r w:rsidRPr="00FE142C">
        <w:rPr>
          <w:rFonts w:ascii="Arial" w:hAnsi="Arial" w:cs="Arial"/>
          <w:sz w:val="24"/>
          <w:szCs w:val="24"/>
        </w:rPr>
        <w:tab/>
      </w:r>
      <w:r w:rsidRPr="00FE142C" w:rsidR="00A457CB">
        <w:rPr>
          <w:rFonts w:ascii="Arial" w:hAnsi="Arial" w:cs="Arial"/>
          <w:sz w:val="24"/>
          <w:szCs w:val="24"/>
        </w:rPr>
        <w:t>Please let us have your views on the creation of a growth fund to support p</w:t>
      </w:r>
      <w:r w:rsidRPr="00FE142C" w:rsidR="001E2633">
        <w:rPr>
          <w:rFonts w:ascii="Arial" w:hAnsi="Arial" w:cs="Arial"/>
          <w:sz w:val="24"/>
          <w:szCs w:val="24"/>
        </w:rPr>
        <w:t xml:space="preserve">ost </w:t>
      </w:r>
      <w:r w:rsidRPr="00FE142C" w:rsidR="00A457CB">
        <w:rPr>
          <w:rFonts w:ascii="Arial" w:hAnsi="Arial" w:cs="Arial"/>
          <w:sz w:val="24"/>
          <w:szCs w:val="24"/>
        </w:rPr>
        <w:t>opening costs of new free schools (section 3.3)?</w:t>
      </w:r>
    </w:p>
    <w:p w:rsidRPr="00FE142C" w:rsidR="00A457CB" w:rsidP="00A457CB" w:rsidRDefault="00A457CB">
      <w:pPr>
        <w:ind w:left="720" w:hanging="720"/>
        <w:rPr>
          <w:rFonts w:ascii="Arial" w:hAnsi="Arial" w:cs="Arial"/>
          <w:sz w:val="24"/>
          <w:szCs w:val="24"/>
        </w:rPr>
      </w:pPr>
    </w:p>
    <w:p w:rsidR="00A457CB" w:rsidP="00A457CB" w:rsidRDefault="00A457CB">
      <w:pPr>
        <w:ind w:left="720" w:hanging="720"/>
        <w:rPr>
          <w:rFonts w:ascii="Arial" w:hAnsi="Arial" w:cs="Arial"/>
          <w:sz w:val="24"/>
          <w:szCs w:val="24"/>
        </w:rPr>
      </w:pPr>
      <w:r w:rsidRPr="00FE142C">
        <w:rPr>
          <w:rFonts w:ascii="Arial" w:hAnsi="Arial" w:cs="Arial"/>
          <w:sz w:val="24"/>
          <w:szCs w:val="24"/>
        </w:rPr>
        <w:t>Q7</w:t>
      </w:r>
      <w:r w:rsidR="000A0403">
        <w:rPr>
          <w:rFonts w:ascii="Arial" w:hAnsi="Arial" w:cs="Arial"/>
          <w:sz w:val="24"/>
          <w:szCs w:val="24"/>
        </w:rPr>
        <w:t>a</w:t>
      </w:r>
      <w:r w:rsidRPr="00FE142C">
        <w:rPr>
          <w:rFonts w:ascii="Arial" w:hAnsi="Arial" w:cs="Arial"/>
          <w:sz w:val="24"/>
          <w:szCs w:val="24"/>
        </w:rPr>
        <w:t>.</w:t>
      </w:r>
      <w:r w:rsidRPr="00FE142C">
        <w:rPr>
          <w:rFonts w:ascii="Arial" w:hAnsi="Arial" w:cs="Arial"/>
          <w:sz w:val="24"/>
          <w:szCs w:val="24"/>
        </w:rPr>
        <w:tab/>
        <w:t>Based on your response to Q7, would you be prepared to see a reduction in the multipliers in Appendix 1 to create</w:t>
      </w:r>
      <w:r>
        <w:rPr>
          <w:rFonts w:ascii="Arial" w:hAnsi="Arial" w:cs="Arial"/>
          <w:sz w:val="24"/>
          <w:szCs w:val="24"/>
        </w:rPr>
        <w:t xml:space="preserve"> this fund?</w:t>
      </w:r>
    </w:p>
    <w:p w:rsidR="00B05865" w:rsidP="00A457CB" w:rsidRDefault="00B05865">
      <w:pPr>
        <w:ind w:left="720" w:hanging="720"/>
        <w:rPr>
          <w:rFonts w:ascii="Arial" w:hAnsi="Arial" w:cs="Arial"/>
          <w:sz w:val="24"/>
          <w:szCs w:val="24"/>
        </w:rPr>
      </w:pPr>
    </w:p>
    <w:p w:rsidR="00B05865" w:rsidP="007352B5" w:rsidRDefault="00B05865">
      <w:pPr>
        <w:ind w:left="720" w:hanging="720"/>
        <w:rPr>
          <w:rFonts w:ascii="Arial" w:hAnsi="Arial" w:cs="Arial"/>
          <w:sz w:val="24"/>
          <w:szCs w:val="24"/>
        </w:rPr>
      </w:pPr>
      <w:r>
        <w:rPr>
          <w:rFonts w:ascii="Arial" w:hAnsi="Arial" w:cs="Arial"/>
          <w:sz w:val="24"/>
          <w:szCs w:val="24"/>
        </w:rPr>
        <w:t>Q8.</w:t>
      </w:r>
      <w:r>
        <w:rPr>
          <w:rFonts w:ascii="Arial" w:hAnsi="Arial" w:cs="Arial"/>
          <w:sz w:val="24"/>
          <w:szCs w:val="24"/>
        </w:rPr>
        <w:tab/>
      </w:r>
      <w:r w:rsidR="00A457CB">
        <w:rPr>
          <w:rFonts w:ascii="Arial" w:hAnsi="Arial" w:cs="Arial"/>
          <w:sz w:val="24"/>
          <w:szCs w:val="24"/>
        </w:rPr>
        <w:t xml:space="preserve">Please let us have your views on the desirability or otherwise of a </w:t>
      </w:r>
      <w:r>
        <w:rPr>
          <w:rFonts w:ascii="Arial" w:hAnsi="Arial" w:cs="Arial"/>
          <w:sz w:val="24"/>
          <w:szCs w:val="24"/>
        </w:rPr>
        <w:t>falling rolls fund to provide temporary support to good or outstanding schools</w:t>
      </w:r>
      <w:r w:rsidR="00B52892">
        <w:rPr>
          <w:rFonts w:ascii="Arial" w:hAnsi="Arial" w:cs="Arial"/>
          <w:sz w:val="24"/>
          <w:szCs w:val="24"/>
        </w:rPr>
        <w:t xml:space="preserve"> (section 3.4)</w:t>
      </w:r>
      <w:r>
        <w:rPr>
          <w:rFonts w:ascii="Arial" w:hAnsi="Arial" w:cs="Arial"/>
          <w:sz w:val="24"/>
          <w:szCs w:val="24"/>
        </w:rPr>
        <w:t>?</w:t>
      </w:r>
    </w:p>
    <w:p w:rsidR="00B05865" w:rsidP="007352B5" w:rsidRDefault="00B05865">
      <w:pPr>
        <w:ind w:left="720" w:hanging="720"/>
        <w:rPr>
          <w:rFonts w:ascii="Arial" w:hAnsi="Arial" w:cs="Arial"/>
          <w:sz w:val="24"/>
          <w:szCs w:val="24"/>
        </w:rPr>
      </w:pPr>
    </w:p>
    <w:p w:rsidR="00B05865" w:rsidP="007352B5" w:rsidRDefault="00B05865">
      <w:pPr>
        <w:ind w:left="720" w:hanging="720"/>
        <w:rPr>
          <w:rFonts w:ascii="Arial" w:hAnsi="Arial" w:cs="Arial"/>
          <w:sz w:val="24"/>
          <w:szCs w:val="24"/>
        </w:rPr>
      </w:pPr>
      <w:r>
        <w:rPr>
          <w:rFonts w:ascii="Arial" w:hAnsi="Arial" w:cs="Arial"/>
          <w:sz w:val="24"/>
          <w:szCs w:val="24"/>
        </w:rPr>
        <w:t>Q8</w:t>
      </w:r>
      <w:r w:rsidR="000A0403">
        <w:rPr>
          <w:rFonts w:ascii="Arial" w:hAnsi="Arial" w:cs="Arial"/>
          <w:sz w:val="24"/>
          <w:szCs w:val="24"/>
        </w:rPr>
        <w:t>a</w:t>
      </w:r>
      <w:r>
        <w:rPr>
          <w:rFonts w:ascii="Arial" w:hAnsi="Arial" w:cs="Arial"/>
          <w:sz w:val="24"/>
          <w:szCs w:val="24"/>
        </w:rPr>
        <w:t>.</w:t>
      </w:r>
      <w:r>
        <w:rPr>
          <w:rFonts w:ascii="Arial" w:hAnsi="Arial" w:cs="Arial"/>
          <w:sz w:val="24"/>
          <w:szCs w:val="24"/>
        </w:rPr>
        <w:tab/>
      </w:r>
      <w:r w:rsidR="00A457CB">
        <w:rPr>
          <w:rFonts w:ascii="Arial" w:hAnsi="Arial" w:cs="Arial"/>
          <w:sz w:val="24"/>
          <w:szCs w:val="24"/>
        </w:rPr>
        <w:t>Based on your response to Q8, would you be prepared to see a reduction in the multipliers in Appendix 1 to create this fund</w:t>
      </w:r>
      <w:r>
        <w:rPr>
          <w:rFonts w:ascii="Arial" w:hAnsi="Arial" w:cs="Arial"/>
          <w:sz w:val="24"/>
          <w:szCs w:val="24"/>
        </w:rPr>
        <w:t>?</w:t>
      </w:r>
    </w:p>
    <w:p w:rsidR="00AC2F84" w:rsidP="00C10E19" w:rsidRDefault="00AC2F84">
      <w:pPr>
        <w:rPr>
          <w:rFonts w:ascii="Arial" w:hAnsi="Arial" w:cs="Arial"/>
          <w:sz w:val="24"/>
          <w:szCs w:val="24"/>
        </w:rPr>
      </w:pPr>
    </w:p>
    <w:p w:rsidR="00AC2F84" w:rsidP="00C10E19" w:rsidRDefault="00B52892">
      <w:pPr>
        <w:rPr>
          <w:rFonts w:ascii="Arial" w:hAnsi="Arial" w:cs="Arial"/>
          <w:sz w:val="24"/>
          <w:szCs w:val="24"/>
        </w:rPr>
      </w:pPr>
      <w:r>
        <w:rPr>
          <w:rFonts w:ascii="Arial" w:hAnsi="Arial" w:cs="Arial"/>
          <w:sz w:val="24"/>
          <w:szCs w:val="24"/>
        </w:rPr>
        <w:t>Q9.</w:t>
      </w:r>
      <w:r>
        <w:rPr>
          <w:rFonts w:ascii="Arial" w:hAnsi="Arial" w:cs="Arial"/>
          <w:sz w:val="24"/>
          <w:szCs w:val="24"/>
        </w:rPr>
        <w:tab/>
      </w:r>
      <w:r w:rsidR="00FE142C">
        <w:rPr>
          <w:rFonts w:ascii="Arial" w:hAnsi="Arial" w:cs="Arial"/>
          <w:sz w:val="24"/>
          <w:szCs w:val="24"/>
        </w:rPr>
        <w:t>Do you have a</w:t>
      </w:r>
      <w:r>
        <w:rPr>
          <w:rFonts w:ascii="Arial" w:hAnsi="Arial" w:cs="Arial"/>
          <w:sz w:val="24"/>
          <w:szCs w:val="24"/>
        </w:rPr>
        <w:t xml:space="preserve">ny other comments to make regarding the </w:t>
      </w:r>
      <w:r w:rsidR="00FE142C">
        <w:rPr>
          <w:rFonts w:ascii="Arial" w:hAnsi="Arial" w:cs="Arial"/>
          <w:sz w:val="24"/>
          <w:szCs w:val="24"/>
        </w:rPr>
        <w:t>proposals in this consultation?</w:t>
      </w:r>
    </w:p>
    <w:p w:rsidR="00AC2F84" w:rsidP="00C10E19" w:rsidRDefault="00AC2F84">
      <w:pPr>
        <w:rPr>
          <w:rFonts w:ascii="Arial" w:hAnsi="Arial" w:cs="Arial"/>
          <w:sz w:val="24"/>
          <w:szCs w:val="24"/>
        </w:rPr>
      </w:pPr>
    </w:p>
    <w:p w:rsidR="00B52892" w:rsidP="00C10E19" w:rsidRDefault="00B52892">
      <w:pPr>
        <w:rPr>
          <w:rFonts w:ascii="Arial" w:hAnsi="Arial" w:cs="Arial"/>
          <w:sz w:val="24"/>
          <w:szCs w:val="24"/>
        </w:rPr>
      </w:pPr>
    </w:p>
    <w:p w:rsidR="00B52892" w:rsidP="00C10E19" w:rsidRDefault="00B52892">
      <w:pPr>
        <w:rPr>
          <w:rFonts w:ascii="Arial" w:hAnsi="Arial" w:cs="Arial"/>
          <w:sz w:val="24"/>
          <w:szCs w:val="24"/>
        </w:rPr>
      </w:pPr>
    </w:p>
    <w:p w:rsidR="00DD2FDC" w:rsidP="00C10E19" w:rsidRDefault="00DD2FDC">
      <w:pPr>
        <w:rPr>
          <w:rFonts w:ascii="Arial" w:hAnsi="Arial" w:cs="Arial"/>
          <w:sz w:val="24"/>
          <w:szCs w:val="24"/>
        </w:rPr>
      </w:pPr>
    </w:p>
    <w:p w:rsidR="0004696E" w:rsidP="00C10E19" w:rsidRDefault="0004696E">
      <w:pPr>
        <w:rPr>
          <w:rFonts w:ascii="Arial" w:hAnsi="Arial" w:cs="Arial"/>
          <w:sz w:val="24"/>
          <w:szCs w:val="24"/>
        </w:rPr>
      </w:pPr>
    </w:p>
    <w:p w:rsidR="0004696E" w:rsidP="00C10E19" w:rsidRDefault="0004696E">
      <w:pPr>
        <w:rPr>
          <w:rFonts w:ascii="Arial" w:hAnsi="Arial" w:cs="Arial"/>
          <w:sz w:val="24"/>
          <w:szCs w:val="24"/>
        </w:rPr>
      </w:pPr>
    </w:p>
    <w:p w:rsidR="0004696E" w:rsidP="00C10E19" w:rsidRDefault="0004696E">
      <w:pPr>
        <w:rPr>
          <w:rFonts w:ascii="Arial" w:hAnsi="Arial" w:cs="Arial"/>
          <w:sz w:val="24"/>
          <w:szCs w:val="24"/>
        </w:rPr>
      </w:pPr>
    </w:p>
    <w:p w:rsidR="0004696E" w:rsidP="00C10E19" w:rsidRDefault="0004696E">
      <w:pPr>
        <w:rPr>
          <w:rFonts w:ascii="Arial" w:hAnsi="Arial" w:cs="Arial"/>
          <w:sz w:val="24"/>
          <w:szCs w:val="24"/>
        </w:rPr>
      </w:pPr>
    </w:p>
    <w:p w:rsidR="0004696E" w:rsidP="00C10E19" w:rsidRDefault="0004696E">
      <w:pPr>
        <w:rPr>
          <w:rFonts w:ascii="Arial" w:hAnsi="Arial" w:cs="Arial"/>
          <w:sz w:val="24"/>
          <w:szCs w:val="24"/>
        </w:rPr>
      </w:pPr>
    </w:p>
    <w:p w:rsidR="00DD2FDC" w:rsidP="00C10E19" w:rsidRDefault="00DD2FDC">
      <w:pPr>
        <w:rPr>
          <w:rFonts w:ascii="Arial" w:hAnsi="Arial" w:cs="Arial"/>
          <w:sz w:val="24"/>
          <w:szCs w:val="24"/>
        </w:rPr>
      </w:pPr>
    </w:p>
    <w:p w:rsidR="00DD2FDC" w:rsidP="00C10E19" w:rsidRDefault="00DD2FDC">
      <w:pPr>
        <w:rPr>
          <w:rFonts w:ascii="Arial" w:hAnsi="Arial" w:cs="Arial"/>
          <w:sz w:val="24"/>
          <w:szCs w:val="24"/>
        </w:rPr>
      </w:pPr>
    </w:p>
    <w:p w:rsidRPr="00F133DE" w:rsidR="00AC2F84" w:rsidP="00AC2F84" w:rsidRDefault="00AC2F84">
      <w:pPr>
        <w:rPr>
          <w:sz w:val="14"/>
          <w:szCs w:val="14"/>
        </w:rPr>
      </w:pPr>
      <w:r w:rsidRPr="00FA25BC">
        <w:rPr>
          <w:rFonts w:ascii="Arial" w:hAnsi="Arial" w:cs="Arial"/>
          <w:sz w:val="14"/>
          <w:szCs w:val="14"/>
        </w:rPr>
        <w:fldChar w:fldCharType="begin"/>
      </w:r>
      <w:r w:rsidRPr="00FA25BC">
        <w:rPr>
          <w:rFonts w:ascii="Arial" w:hAnsi="Arial" w:cs="Arial"/>
          <w:sz w:val="14"/>
          <w:szCs w:val="14"/>
        </w:rPr>
        <w:instrText xml:space="preserve"> FILENAME  \p  \* MERGEFORMAT </w:instrText>
      </w:r>
      <w:r w:rsidRPr="00FA25BC">
        <w:rPr>
          <w:rFonts w:ascii="Arial" w:hAnsi="Arial" w:cs="Arial"/>
          <w:sz w:val="14"/>
          <w:szCs w:val="14"/>
        </w:rPr>
        <w:fldChar w:fldCharType="separate"/>
      </w:r>
      <w:r w:rsidR="008478D2">
        <w:rPr>
          <w:rFonts w:ascii="Arial" w:hAnsi="Arial" w:cs="Arial"/>
          <w:noProof/>
          <w:sz w:val="14"/>
          <w:szCs w:val="14"/>
        </w:rPr>
        <w:t>N:\LMS\Consultation on Funding Reform 18-19\Schools Mainstream consultation PUBLISHED FINAL version.docx</w:t>
      </w:r>
      <w:r w:rsidRPr="00FA25BC">
        <w:rPr>
          <w:rFonts w:ascii="Arial" w:hAnsi="Arial" w:cs="Arial"/>
          <w:sz w:val="14"/>
          <w:szCs w:val="14"/>
        </w:rPr>
        <w:fldChar w:fldCharType="end"/>
      </w:r>
    </w:p>
    <w:p w:rsidR="00CB683F" w:rsidP="00517AD6" w:rsidRDefault="00CB683F">
      <w:pPr>
        <w:rPr>
          <w:rFonts w:ascii="Arial" w:hAnsi="Arial" w:cs="Arial"/>
          <w:sz w:val="24"/>
          <w:szCs w:val="24"/>
        </w:rPr>
      </w:pPr>
    </w:p>
    <w:p w:rsidR="001727B2" w:rsidP="00CB683F" w:rsidRDefault="001727B2">
      <w:pPr>
        <w:tabs>
          <w:tab w:val="left" w:pos="8789"/>
        </w:tabs>
        <w:rPr>
          <w:rFonts w:ascii="Arial" w:hAnsi="Arial" w:cs="Arial"/>
          <w:b/>
          <w:sz w:val="24"/>
          <w:szCs w:val="24"/>
          <w:u w:val="single"/>
        </w:rPr>
        <w:sectPr w:rsidR="001727B2" w:rsidSect="0010699E">
          <w:footerReference w:type="default" r:id="rId10"/>
          <w:pgSz w:w="11906" w:h="16838"/>
          <w:pgMar w:top="709" w:right="849" w:bottom="709" w:left="709" w:header="708" w:footer="430" w:gutter="0"/>
          <w:cols w:space="708"/>
          <w:docGrid w:linePitch="360"/>
        </w:sectPr>
      </w:pPr>
    </w:p>
    <w:p w:rsidR="00CB683F" w:rsidP="0050214B" w:rsidRDefault="00CB683F">
      <w:pPr>
        <w:tabs>
          <w:tab w:val="left" w:pos="8789"/>
        </w:tabs>
        <w:ind w:left="142"/>
        <w:rPr>
          <w:rFonts w:ascii="Arial" w:hAnsi="Arial" w:cs="Arial"/>
          <w:b/>
          <w:sz w:val="24"/>
          <w:szCs w:val="24"/>
          <w:u w:val="single"/>
        </w:rPr>
      </w:pPr>
      <w:r w:rsidRPr="00F46288">
        <w:rPr>
          <w:rFonts w:ascii="Arial" w:hAnsi="Arial" w:cs="Arial"/>
          <w:b/>
          <w:sz w:val="24"/>
          <w:szCs w:val="24"/>
          <w:u w:val="single"/>
        </w:rPr>
        <w:lastRenderedPageBreak/>
        <w:t>Summary of allocations based on proposed model</w:t>
      </w:r>
      <w:r w:rsidRPr="00CB683F">
        <w:rPr>
          <w:rFonts w:ascii="Arial" w:hAnsi="Arial" w:cs="Arial"/>
          <w:b/>
          <w:sz w:val="24"/>
          <w:szCs w:val="24"/>
        </w:rPr>
        <w:tab/>
      </w:r>
      <w:r>
        <w:rPr>
          <w:rFonts w:ascii="Arial" w:hAnsi="Arial" w:cs="Arial"/>
          <w:b/>
          <w:sz w:val="24"/>
          <w:szCs w:val="24"/>
          <w:u w:val="single"/>
        </w:rPr>
        <w:t xml:space="preserve">Appendix </w:t>
      </w:r>
      <w:r w:rsidR="0043467F">
        <w:rPr>
          <w:rFonts w:ascii="Arial" w:hAnsi="Arial" w:cs="Arial"/>
          <w:b/>
          <w:sz w:val="24"/>
          <w:szCs w:val="24"/>
          <w:u w:val="single"/>
        </w:rPr>
        <w:t>1</w:t>
      </w:r>
    </w:p>
    <w:p w:rsidRPr="00A73FF6" w:rsidR="00CB683F" w:rsidP="00CB683F" w:rsidRDefault="00CB683F">
      <w:pPr>
        <w:rPr>
          <w:rFonts w:ascii="Arial" w:hAnsi="Arial" w:cs="Arial"/>
          <w:b/>
          <w:sz w:val="12"/>
          <w:szCs w:val="24"/>
          <w:u w:val="single"/>
        </w:rPr>
      </w:pPr>
    </w:p>
    <w:tbl>
      <w:tblPr>
        <w:tblStyle w:val="TableGrid"/>
        <w:tblW w:w="10680" w:type="dxa"/>
        <w:tblInd w:w="137" w:type="dxa"/>
        <w:tblLayout w:type="fixed"/>
        <w:tblLook w:val="04A0" w:firstRow="1" w:lastRow="0" w:firstColumn="1" w:lastColumn="0" w:noHBand="0" w:noVBand="1"/>
      </w:tblPr>
      <w:tblGrid>
        <w:gridCol w:w="2972"/>
        <w:gridCol w:w="1133"/>
        <w:gridCol w:w="1287"/>
        <w:gridCol w:w="1329"/>
        <w:gridCol w:w="236"/>
        <w:gridCol w:w="1118"/>
        <w:gridCol w:w="1276"/>
        <w:gridCol w:w="1329"/>
      </w:tblGrid>
      <w:tr w:rsidR="004172F5" w:rsidTr="0050214B">
        <w:tc>
          <w:tcPr>
            <w:tcW w:w="2972" w:type="dxa"/>
          </w:tcPr>
          <w:p w:rsidRPr="00E71A0A" w:rsidR="004172F5" w:rsidP="004172F5" w:rsidRDefault="004172F5">
            <w:pPr>
              <w:rPr>
                <w:rFonts w:ascii="Arial" w:hAnsi="Arial" w:cs="Arial"/>
                <w:sz w:val="20"/>
                <w:szCs w:val="20"/>
              </w:rPr>
            </w:pPr>
          </w:p>
        </w:tc>
        <w:tc>
          <w:tcPr>
            <w:tcW w:w="3749" w:type="dxa"/>
            <w:gridSpan w:val="3"/>
          </w:tcPr>
          <w:p w:rsidRPr="008D0714" w:rsidR="004172F5" w:rsidP="00A73FF6" w:rsidRDefault="004172F5">
            <w:pPr>
              <w:jc w:val="center"/>
              <w:rPr>
                <w:rFonts w:ascii="Arial" w:hAnsi="Arial" w:cs="Arial"/>
                <w:b/>
                <w:sz w:val="20"/>
                <w:szCs w:val="20"/>
              </w:rPr>
            </w:pPr>
            <w:r w:rsidRPr="008D0714">
              <w:rPr>
                <w:rFonts w:ascii="Arial" w:hAnsi="Arial" w:cs="Arial"/>
                <w:b/>
                <w:sz w:val="20"/>
                <w:szCs w:val="20"/>
              </w:rPr>
              <w:t xml:space="preserve">Proposed </w:t>
            </w:r>
            <w:r>
              <w:rPr>
                <w:rFonts w:ascii="Arial" w:hAnsi="Arial" w:cs="Arial"/>
                <w:b/>
                <w:sz w:val="20"/>
                <w:szCs w:val="20"/>
              </w:rPr>
              <w:t xml:space="preserve">DCC </w:t>
            </w:r>
            <w:r w:rsidRPr="008D0714">
              <w:rPr>
                <w:rFonts w:ascii="Arial" w:hAnsi="Arial" w:cs="Arial"/>
                <w:b/>
                <w:sz w:val="20"/>
                <w:szCs w:val="20"/>
              </w:rPr>
              <w:t>NFF</w:t>
            </w:r>
            <w:r w:rsidR="00A73FF6">
              <w:rPr>
                <w:rFonts w:ascii="Arial" w:hAnsi="Arial" w:cs="Arial"/>
                <w:b/>
                <w:sz w:val="20"/>
                <w:szCs w:val="20"/>
              </w:rPr>
              <w:t>-</w:t>
            </w:r>
            <w:r w:rsidRPr="008D0714">
              <w:rPr>
                <w:rFonts w:ascii="Arial" w:hAnsi="Arial" w:cs="Arial"/>
                <w:b/>
                <w:sz w:val="20"/>
                <w:szCs w:val="20"/>
              </w:rPr>
              <w:t>based</w:t>
            </w:r>
            <w:r>
              <w:rPr>
                <w:rFonts w:ascii="Arial" w:hAnsi="Arial" w:cs="Arial"/>
                <w:b/>
                <w:sz w:val="20"/>
                <w:szCs w:val="20"/>
              </w:rPr>
              <w:t xml:space="preserve"> formula</w:t>
            </w:r>
          </w:p>
        </w:tc>
        <w:tc>
          <w:tcPr>
            <w:tcW w:w="236" w:type="dxa"/>
            <w:shd w:val="clear" w:color="auto" w:fill="2E74B5" w:themeFill="accent1" w:themeFillShade="BF"/>
          </w:tcPr>
          <w:p w:rsidRPr="008D0714" w:rsidR="004172F5" w:rsidP="004172F5" w:rsidRDefault="004172F5">
            <w:pPr>
              <w:rPr>
                <w:rFonts w:ascii="Arial" w:hAnsi="Arial" w:cs="Arial"/>
                <w:b/>
                <w:sz w:val="20"/>
                <w:szCs w:val="20"/>
              </w:rPr>
            </w:pPr>
          </w:p>
        </w:tc>
        <w:tc>
          <w:tcPr>
            <w:tcW w:w="3723" w:type="dxa"/>
            <w:gridSpan w:val="3"/>
          </w:tcPr>
          <w:p w:rsidRPr="008D0714" w:rsidR="004172F5" w:rsidP="004172F5" w:rsidRDefault="004172F5">
            <w:pPr>
              <w:jc w:val="center"/>
              <w:rPr>
                <w:rFonts w:ascii="Arial" w:hAnsi="Arial" w:cs="Arial"/>
                <w:b/>
                <w:sz w:val="20"/>
                <w:szCs w:val="20"/>
              </w:rPr>
            </w:pPr>
            <w:r w:rsidRPr="008D0714">
              <w:rPr>
                <w:rFonts w:ascii="Arial" w:hAnsi="Arial" w:cs="Arial"/>
                <w:b/>
                <w:sz w:val="20"/>
                <w:szCs w:val="20"/>
              </w:rPr>
              <w:t>Current Derbyshire formula</w:t>
            </w:r>
          </w:p>
        </w:tc>
      </w:tr>
      <w:tr w:rsidR="00CB683F" w:rsidTr="0050214B">
        <w:tc>
          <w:tcPr>
            <w:tcW w:w="2972" w:type="dxa"/>
          </w:tcPr>
          <w:p w:rsidRPr="008D0714" w:rsidR="00CB683F" w:rsidP="001361FB" w:rsidRDefault="00CB683F">
            <w:pPr>
              <w:rPr>
                <w:rFonts w:ascii="Arial" w:hAnsi="Arial" w:cs="Arial"/>
                <w:b/>
                <w:sz w:val="20"/>
                <w:szCs w:val="20"/>
              </w:rPr>
            </w:pPr>
            <w:r w:rsidRPr="008D0714">
              <w:rPr>
                <w:rFonts w:ascii="Arial" w:hAnsi="Arial" w:cs="Arial"/>
                <w:b/>
                <w:sz w:val="20"/>
                <w:szCs w:val="20"/>
              </w:rPr>
              <w:t>PRIMARY</w:t>
            </w:r>
          </w:p>
        </w:tc>
        <w:tc>
          <w:tcPr>
            <w:tcW w:w="1133"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Count</w:t>
            </w:r>
          </w:p>
        </w:tc>
        <w:tc>
          <w:tcPr>
            <w:tcW w:w="1287"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Multiplier</w:t>
            </w:r>
          </w:p>
        </w:tc>
        <w:tc>
          <w:tcPr>
            <w:tcW w:w="1329"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Total</w:t>
            </w:r>
          </w:p>
        </w:tc>
        <w:tc>
          <w:tcPr>
            <w:tcW w:w="236" w:type="dxa"/>
            <w:shd w:val="clear" w:color="auto" w:fill="2E74B5" w:themeFill="accent1" w:themeFillShade="BF"/>
          </w:tcPr>
          <w:p w:rsidRPr="008D0714" w:rsidR="00CB683F" w:rsidP="001361FB" w:rsidRDefault="00CB683F">
            <w:pPr>
              <w:rPr>
                <w:rFonts w:ascii="Arial" w:hAnsi="Arial" w:cs="Arial"/>
                <w:b/>
                <w:sz w:val="20"/>
                <w:szCs w:val="20"/>
              </w:rPr>
            </w:pPr>
          </w:p>
        </w:tc>
        <w:tc>
          <w:tcPr>
            <w:tcW w:w="1118"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Count</w:t>
            </w:r>
          </w:p>
        </w:tc>
        <w:tc>
          <w:tcPr>
            <w:tcW w:w="1276"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Multiplier</w:t>
            </w:r>
          </w:p>
        </w:tc>
        <w:tc>
          <w:tcPr>
            <w:tcW w:w="1329"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Total</w:t>
            </w:r>
          </w:p>
        </w:tc>
      </w:tr>
      <w:tr w:rsidR="00CB683F" w:rsidTr="0050214B">
        <w:tc>
          <w:tcPr>
            <w:tcW w:w="2972" w:type="dxa"/>
          </w:tcPr>
          <w:p w:rsidRPr="00E71A0A" w:rsidR="00CB683F" w:rsidP="001361FB" w:rsidRDefault="00CB683F">
            <w:pPr>
              <w:rPr>
                <w:rFonts w:ascii="Arial" w:hAnsi="Arial" w:cs="Arial"/>
                <w:sz w:val="20"/>
                <w:szCs w:val="20"/>
              </w:rPr>
            </w:pPr>
          </w:p>
        </w:tc>
        <w:tc>
          <w:tcPr>
            <w:tcW w:w="1133" w:type="dxa"/>
          </w:tcPr>
          <w:p w:rsidRPr="008D0714" w:rsidR="00CB683F" w:rsidP="001361FB" w:rsidRDefault="00CB683F">
            <w:pPr>
              <w:jc w:val="right"/>
              <w:rPr>
                <w:rFonts w:ascii="Arial" w:hAnsi="Arial" w:cs="Arial"/>
                <w:b/>
                <w:sz w:val="20"/>
                <w:szCs w:val="20"/>
              </w:rPr>
            </w:pPr>
          </w:p>
        </w:tc>
        <w:tc>
          <w:tcPr>
            <w:tcW w:w="1287"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w:t>
            </w:r>
          </w:p>
        </w:tc>
        <w:tc>
          <w:tcPr>
            <w:tcW w:w="1329"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w:t>
            </w:r>
          </w:p>
        </w:tc>
        <w:tc>
          <w:tcPr>
            <w:tcW w:w="236" w:type="dxa"/>
            <w:shd w:val="clear" w:color="auto" w:fill="2E74B5" w:themeFill="accent1" w:themeFillShade="BF"/>
          </w:tcPr>
          <w:p w:rsidRPr="008D0714" w:rsidR="00CB683F" w:rsidP="001361FB" w:rsidRDefault="00CB683F">
            <w:pPr>
              <w:rPr>
                <w:rFonts w:ascii="Arial" w:hAnsi="Arial" w:cs="Arial"/>
                <w:b/>
                <w:sz w:val="20"/>
                <w:szCs w:val="20"/>
              </w:rPr>
            </w:pPr>
          </w:p>
        </w:tc>
        <w:tc>
          <w:tcPr>
            <w:tcW w:w="1118" w:type="dxa"/>
          </w:tcPr>
          <w:p w:rsidRPr="008D0714" w:rsidR="00CB683F" w:rsidP="001361FB" w:rsidRDefault="00CB683F">
            <w:pPr>
              <w:jc w:val="right"/>
              <w:rPr>
                <w:rFonts w:ascii="Arial" w:hAnsi="Arial" w:cs="Arial"/>
                <w:b/>
                <w:sz w:val="20"/>
                <w:szCs w:val="20"/>
              </w:rPr>
            </w:pPr>
          </w:p>
        </w:tc>
        <w:tc>
          <w:tcPr>
            <w:tcW w:w="1276"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w:t>
            </w:r>
          </w:p>
        </w:tc>
        <w:tc>
          <w:tcPr>
            <w:tcW w:w="1329" w:type="dxa"/>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w:t>
            </w:r>
          </w:p>
        </w:tc>
      </w:tr>
      <w:tr w:rsidR="00CB683F" w:rsidTr="0050214B">
        <w:tc>
          <w:tcPr>
            <w:tcW w:w="2972" w:type="dxa"/>
            <w:vAlign w:val="bottom"/>
          </w:tcPr>
          <w:p w:rsidRPr="00E71A0A" w:rsidR="00CB683F" w:rsidP="001361FB" w:rsidRDefault="00CB683F">
            <w:pPr>
              <w:rPr>
                <w:rFonts w:ascii="Arial" w:hAnsi="Arial" w:cs="Arial"/>
                <w:sz w:val="20"/>
                <w:szCs w:val="20"/>
              </w:rPr>
            </w:pPr>
            <w:r>
              <w:rPr>
                <w:rFonts w:ascii="Arial" w:hAnsi="Arial" w:cs="Arial"/>
                <w:sz w:val="20"/>
                <w:szCs w:val="20"/>
              </w:rPr>
              <w:t>KS1/2 A</w:t>
            </w:r>
            <w:r w:rsidRPr="00E71A0A">
              <w:rPr>
                <w:rFonts w:ascii="Arial" w:hAnsi="Arial" w:cs="Arial"/>
                <w:sz w:val="20"/>
                <w:szCs w:val="20"/>
              </w:rPr>
              <w:t>WPU</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59,079.58 </w:t>
            </w:r>
          </w:p>
        </w:tc>
        <w:tc>
          <w:tcPr>
            <w:tcW w:w="1287" w:type="dxa"/>
            <w:vAlign w:val="bottom"/>
          </w:tcPr>
          <w:p w:rsidR="00CB683F" w:rsidP="0040692B" w:rsidRDefault="00CB683F">
            <w:pPr>
              <w:jc w:val="right"/>
              <w:rPr>
                <w:rFonts w:ascii="Arial" w:hAnsi="Arial" w:cs="Arial"/>
                <w:color w:val="000000"/>
                <w:sz w:val="20"/>
                <w:szCs w:val="20"/>
              </w:rPr>
            </w:pPr>
            <w:r>
              <w:rPr>
                <w:rFonts w:ascii="Arial" w:hAnsi="Arial" w:cs="Arial"/>
                <w:color w:val="000000"/>
                <w:sz w:val="20"/>
                <w:szCs w:val="20"/>
              </w:rPr>
              <w:t>2,74</w:t>
            </w:r>
            <w:r w:rsidR="0040692B">
              <w:rPr>
                <w:rFonts w:ascii="Arial" w:hAnsi="Arial" w:cs="Arial"/>
                <w:color w:val="000000"/>
                <w:sz w:val="20"/>
                <w:szCs w:val="20"/>
              </w:rPr>
              <w:t>6.99</w:t>
            </w:r>
            <w:r>
              <w:rPr>
                <w:rFonts w:ascii="Arial" w:hAnsi="Arial" w:cs="Arial"/>
                <w:color w:val="000000"/>
                <w:sz w:val="20"/>
                <w:szCs w:val="20"/>
              </w:rPr>
              <w:t xml:space="preserve"> </w:t>
            </w:r>
          </w:p>
        </w:tc>
        <w:tc>
          <w:tcPr>
            <w:tcW w:w="1329" w:type="dxa"/>
            <w:vAlign w:val="bottom"/>
          </w:tcPr>
          <w:p w:rsidR="00CB683F" w:rsidP="005903B3" w:rsidRDefault="00CB683F">
            <w:pPr>
              <w:jc w:val="right"/>
              <w:rPr>
                <w:rFonts w:ascii="Arial" w:hAnsi="Arial" w:cs="Arial"/>
                <w:color w:val="000000"/>
                <w:sz w:val="20"/>
                <w:szCs w:val="20"/>
              </w:rPr>
            </w:pPr>
            <w:r>
              <w:rPr>
                <w:rFonts w:ascii="Arial" w:hAnsi="Arial" w:cs="Arial"/>
                <w:color w:val="000000"/>
                <w:sz w:val="20"/>
                <w:szCs w:val="20"/>
              </w:rPr>
              <w:t>162,291,</w:t>
            </w:r>
            <w:r w:rsidR="005903B3">
              <w:rPr>
                <w:rFonts w:ascii="Arial" w:hAnsi="Arial" w:cs="Arial"/>
                <w:color w:val="000000"/>
                <w:sz w:val="20"/>
                <w:szCs w:val="20"/>
              </w:rPr>
              <w:t>02</w:t>
            </w:r>
            <w:r>
              <w:rPr>
                <w:rFonts w:ascii="Arial" w:hAnsi="Arial" w:cs="Arial"/>
                <w:color w:val="000000"/>
                <w:sz w:val="20"/>
                <w:szCs w:val="20"/>
              </w:rPr>
              <w:t xml:space="preserve">5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59,079.58 </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2,648.44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156,468,848 </w:t>
            </w:r>
          </w:p>
        </w:tc>
      </w:tr>
      <w:tr w:rsidR="00CB683F" w:rsidTr="0050214B">
        <w:tc>
          <w:tcPr>
            <w:tcW w:w="2972" w:type="dxa"/>
            <w:vAlign w:val="bottom"/>
          </w:tcPr>
          <w:p w:rsidRPr="00E71A0A" w:rsidR="00CB683F" w:rsidP="001361FB" w:rsidRDefault="00CB683F">
            <w:pPr>
              <w:rPr>
                <w:rFonts w:ascii="Arial" w:hAnsi="Arial" w:cs="Arial"/>
                <w:sz w:val="20"/>
                <w:szCs w:val="20"/>
              </w:rPr>
            </w:pPr>
            <w:r>
              <w:rPr>
                <w:rFonts w:ascii="Arial" w:hAnsi="Arial" w:cs="Arial"/>
                <w:sz w:val="20"/>
                <w:szCs w:val="20"/>
              </w:rPr>
              <w:t xml:space="preserve">Deprivation: Current </w:t>
            </w:r>
            <w:r w:rsidRPr="00E71A0A">
              <w:rPr>
                <w:rFonts w:ascii="Arial" w:hAnsi="Arial" w:cs="Arial"/>
                <w:sz w:val="20"/>
                <w:szCs w:val="20"/>
              </w:rPr>
              <w:t>FSM</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8,037.23 </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440.00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3,536,381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5F211B">
            <w:pPr>
              <w:jc w:val="right"/>
              <w:rPr>
                <w:rFonts w:ascii="Arial" w:hAnsi="Arial" w:cs="Arial"/>
                <w:color w:val="000000"/>
                <w:sz w:val="20"/>
                <w:szCs w:val="20"/>
              </w:rPr>
            </w:pPr>
            <w:r>
              <w:rPr>
                <w:rFonts w:ascii="Arial" w:hAnsi="Arial" w:cs="Arial"/>
                <w:color w:val="000000"/>
                <w:sz w:val="20"/>
                <w:szCs w:val="20"/>
              </w:rPr>
              <w:t>0.00</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E</w:t>
            </w:r>
            <w:r>
              <w:rPr>
                <w:rFonts w:ascii="Arial" w:hAnsi="Arial" w:cs="Arial"/>
                <w:sz w:val="20"/>
                <w:szCs w:val="20"/>
              </w:rPr>
              <w:t>ver</w:t>
            </w:r>
            <w:r w:rsidRPr="00E71A0A">
              <w:rPr>
                <w:rFonts w:ascii="Arial" w:hAnsi="Arial" w:cs="Arial"/>
                <w:sz w:val="20"/>
                <w:szCs w:val="20"/>
              </w:rPr>
              <w:t xml:space="preserve"> 6 FSM</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13,602.26 </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540.00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7,345,221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13,602.26 </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1,472.53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20,029,753 </w:t>
            </w:r>
          </w:p>
        </w:tc>
      </w:tr>
      <w:tr w:rsidR="005F211B" w:rsidTr="0050214B">
        <w:tc>
          <w:tcPr>
            <w:tcW w:w="2972" w:type="dxa"/>
            <w:vAlign w:val="bottom"/>
          </w:tcPr>
          <w:p w:rsidRPr="00E71A0A" w:rsidR="005F211B" w:rsidP="005F211B" w:rsidRDefault="005F211B">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F</w:t>
            </w:r>
          </w:p>
        </w:tc>
        <w:tc>
          <w:tcPr>
            <w:tcW w:w="1133"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6,283.41 </w:t>
            </w:r>
          </w:p>
        </w:tc>
        <w:tc>
          <w:tcPr>
            <w:tcW w:w="1287"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200.00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1,256,682 </w:t>
            </w:r>
          </w:p>
        </w:tc>
        <w:tc>
          <w:tcPr>
            <w:tcW w:w="236" w:type="dxa"/>
            <w:shd w:val="clear" w:color="auto" w:fill="2E74B5" w:themeFill="accent1" w:themeFillShade="BF"/>
          </w:tcPr>
          <w:p w:rsidRPr="00E71A0A" w:rsidR="005F211B" w:rsidP="005F211B" w:rsidRDefault="005F211B">
            <w:pPr>
              <w:rPr>
                <w:rFonts w:ascii="Arial" w:hAnsi="Arial" w:cs="Arial"/>
                <w:sz w:val="20"/>
                <w:szCs w:val="20"/>
              </w:rPr>
            </w:pPr>
          </w:p>
        </w:tc>
        <w:tc>
          <w:tcPr>
            <w:tcW w:w="1118" w:type="dxa"/>
          </w:tcPr>
          <w:p w:rsidR="005F211B" w:rsidP="005F211B" w:rsidRDefault="005F211B">
            <w:pPr>
              <w:jc w:val="right"/>
            </w:pPr>
            <w:r w:rsidRPr="00A5115F">
              <w:rPr>
                <w:rFonts w:ascii="Arial" w:hAnsi="Arial" w:cs="Arial"/>
                <w:color w:val="000000"/>
                <w:sz w:val="20"/>
                <w:szCs w:val="20"/>
              </w:rPr>
              <w:t>0.00</w:t>
            </w:r>
          </w:p>
        </w:tc>
        <w:tc>
          <w:tcPr>
            <w:tcW w:w="1276"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 </w:t>
            </w:r>
          </w:p>
        </w:tc>
      </w:tr>
      <w:tr w:rsidR="005F211B" w:rsidTr="0050214B">
        <w:tc>
          <w:tcPr>
            <w:tcW w:w="2972" w:type="dxa"/>
            <w:vAlign w:val="bottom"/>
          </w:tcPr>
          <w:p w:rsidRPr="00E71A0A" w:rsidR="005F211B" w:rsidP="005F211B" w:rsidRDefault="005F211B">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E</w:t>
            </w:r>
          </w:p>
        </w:tc>
        <w:tc>
          <w:tcPr>
            <w:tcW w:w="1133"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3,446.44 </w:t>
            </w:r>
          </w:p>
        </w:tc>
        <w:tc>
          <w:tcPr>
            <w:tcW w:w="1287"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240.00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827,145 </w:t>
            </w:r>
          </w:p>
        </w:tc>
        <w:tc>
          <w:tcPr>
            <w:tcW w:w="236" w:type="dxa"/>
            <w:shd w:val="clear" w:color="auto" w:fill="2E74B5" w:themeFill="accent1" w:themeFillShade="BF"/>
          </w:tcPr>
          <w:p w:rsidRPr="00E71A0A" w:rsidR="005F211B" w:rsidP="005F211B" w:rsidRDefault="005F211B">
            <w:pPr>
              <w:rPr>
                <w:rFonts w:ascii="Arial" w:hAnsi="Arial" w:cs="Arial"/>
                <w:sz w:val="20"/>
                <w:szCs w:val="20"/>
              </w:rPr>
            </w:pPr>
          </w:p>
        </w:tc>
        <w:tc>
          <w:tcPr>
            <w:tcW w:w="1118" w:type="dxa"/>
          </w:tcPr>
          <w:p w:rsidR="005F211B" w:rsidP="005F211B" w:rsidRDefault="005F211B">
            <w:pPr>
              <w:jc w:val="right"/>
            </w:pPr>
            <w:r w:rsidRPr="00A5115F">
              <w:rPr>
                <w:rFonts w:ascii="Arial" w:hAnsi="Arial" w:cs="Arial"/>
                <w:color w:val="000000"/>
                <w:sz w:val="20"/>
                <w:szCs w:val="20"/>
              </w:rPr>
              <w:t>0.00</w:t>
            </w:r>
          </w:p>
        </w:tc>
        <w:tc>
          <w:tcPr>
            <w:tcW w:w="1276"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 </w:t>
            </w:r>
          </w:p>
        </w:tc>
      </w:tr>
      <w:tr w:rsidR="005F211B" w:rsidTr="0050214B">
        <w:tc>
          <w:tcPr>
            <w:tcW w:w="2972" w:type="dxa"/>
            <w:vAlign w:val="bottom"/>
          </w:tcPr>
          <w:p w:rsidRPr="00E71A0A" w:rsidR="005F211B" w:rsidP="005F211B" w:rsidRDefault="005F211B">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D</w:t>
            </w:r>
          </w:p>
        </w:tc>
        <w:tc>
          <w:tcPr>
            <w:tcW w:w="1133"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3,835.64 </w:t>
            </w:r>
          </w:p>
        </w:tc>
        <w:tc>
          <w:tcPr>
            <w:tcW w:w="1287"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360.00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1,380,832 </w:t>
            </w:r>
          </w:p>
        </w:tc>
        <w:tc>
          <w:tcPr>
            <w:tcW w:w="236" w:type="dxa"/>
            <w:shd w:val="clear" w:color="auto" w:fill="2E74B5" w:themeFill="accent1" w:themeFillShade="BF"/>
          </w:tcPr>
          <w:p w:rsidRPr="00E71A0A" w:rsidR="005F211B" w:rsidP="005F211B" w:rsidRDefault="005F211B">
            <w:pPr>
              <w:rPr>
                <w:rFonts w:ascii="Arial" w:hAnsi="Arial" w:cs="Arial"/>
                <w:sz w:val="20"/>
                <w:szCs w:val="20"/>
              </w:rPr>
            </w:pPr>
          </w:p>
        </w:tc>
        <w:tc>
          <w:tcPr>
            <w:tcW w:w="1118" w:type="dxa"/>
          </w:tcPr>
          <w:p w:rsidR="005F211B" w:rsidP="005F211B" w:rsidRDefault="005F211B">
            <w:pPr>
              <w:jc w:val="right"/>
            </w:pPr>
            <w:r w:rsidRPr="00A5115F">
              <w:rPr>
                <w:rFonts w:ascii="Arial" w:hAnsi="Arial" w:cs="Arial"/>
                <w:color w:val="000000"/>
                <w:sz w:val="20"/>
                <w:szCs w:val="20"/>
              </w:rPr>
              <w:t>0.00</w:t>
            </w:r>
          </w:p>
        </w:tc>
        <w:tc>
          <w:tcPr>
            <w:tcW w:w="1276"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 </w:t>
            </w:r>
          </w:p>
        </w:tc>
      </w:tr>
      <w:tr w:rsidR="005F211B" w:rsidTr="0050214B">
        <w:tc>
          <w:tcPr>
            <w:tcW w:w="2972" w:type="dxa"/>
            <w:vAlign w:val="bottom"/>
          </w:tcPr>
          <w:p w:rsidRPr="00E71A0A" w:rsidR="005F211B" w:rsidP="005F211B" w:rsidRDefault="005F211B">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C</w:t>
            </w:r>
          </w:p>
        </w:tc>
        <w:tc>
          <w:tcPr>
            <w:tcW w:w="1133"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3,762.19 </w:t>
            </w:r>
          </w:p>
        </w:tc>
        <w:tc>
          <w:tcPr>
            <w:tcW w:w="1287"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390.00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1,467,254 </w:t>
            </w:r>
          </w:p>
        </w:tc>
        <w:tc>
          <w:tcPr>
            <w:tcW w:w="236" w:type="dxa"/>
            <w:shd w:val="clear" w:color="auto" w:fill="2E74B5" w:themeFill="accent1" w:themeFillShade="BF"/>
          </w:tcPr>
          <w:p w:rsidRPr="00E71A0A" w:rsidR="005F211B" w:rsidP="005F211B" w:rsidRDefault="005F211B">
            <w:pPr>
              <w:rPr>
                <w:rFonts w:ascii="Arial" w:hAnsi="Arial" w:cs="Arial"/>
                <w:sz w:val="20"/>
                <w:szCs w:val="20"/>
              </w:rPr>
            </w:pPr>
          </w:p>
        </w:tc>
        <w:tc>
          <w:tcPr>
            <w:tcW w:w="1118" w:type="dxa"/>
          </w:tcPr>
          <w:p w:rsidR="005F211B" w:rsidP="005F211B" w:rsidRDefault="005F211B">
            <w:pPr>
              <w:jc w:val="right"/>
            </w:pPr>
            <w:r w:rsidRPr="00A5115F">
              <w:rPr>
                <w:rFonts w:ascii="Arial" w:hAnsi="Arial" w:cs="Arial"/>
                <w:color w:val="000000"/>
                <w:sz w:val="20"/>
                <w:szCs w:val="20"/>
              </w:rPr>
              <w:t>0.00</w:t>
            </w:r>
          </w:p>
        </w:tc>
        <w:tc>
          <w:tcPr>
            <w:tcW w:w="1276"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 </w:t>
            </w:r>
          </w:p>
        </w:tc>
      </w:tr>
      <w:tr w:rsidR="005F211B" w:rsidTr="0050214B">
        <w:tc>
          <w:tcPr>
            <w:tcW w:w="2972" w:type="dxa"/>
            <w:vAlign w:val="bottom"/>
          </w:tcPr>
          <w:p w:rsidRPr="00E71A0A" w:rsidR="005F211B" w:rsidP="005F211B" w:rsidRDefault="005F211B">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B</w:t>
            </w:r>
          </w:p>
        </w:tc>
        <w:tc>
          <w:tcPr>
            <w:tcW w:w="1133"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3,493.70 </w:t>
            </w:r>
          </w:p>
        </w:tc>
        <w:tc>
          <w:tcPr>
            <w:tcW w:w="1287"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420.00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1,467,354 </w:t>
            </w:r>
          </w:p>
        </w:tc>
        <w:tc>
          <w:tcPr>
            <w:tcW w:w="236" w:type="dxa"/>
            <w:shd w:val="clear" w:color="auto" w:fill="2E74B5" w:themeFill="accent1" w:themeFillShade="BF"/>
          </w:tcPr>
          <w:p w:rsidRPr="00E71A0A" w:rsidR="005F211B" w:rsidP="005F211B" w:rsidRDefault="005F211B">
            <w:pPr>
              <w:rPr>
                <w:rFonts w:ascii="Arial" w:hAnsi="Arial" w:cs="Arial"/>
                <w:sz w:val="20"/>
                <w:szCs w:val="20"/>
              </w:rPr>
            </w:pPr>
          </w:p>
        </w:tc>
        <w:tc>
          <w:tcPr>
            <w:tcW w:w="1118" w:type="dxa"/>
          </w:tcPr>
          <w:p w:rsidR="005F211B" w:rsidP="005F211B" w:rsidRDefault="005F211B">
            <w:pPr>
              <w:jc w:val="right"/>
            </w:pPr>
            <w:r w:rsidRPr="00A5115F">
              <w:rPr>
                <w:rFonts w:ascii="Arial" w:hAnsi="Arial" w:cs="Arial"/>
                <w:color w:val="000000"/>
                <w:sz w:val="20"/>
                <w:szCs w:val="20"/>
              </w:rPr>
              <w:t>0.00</w:t>
            </w:r>
          </w:p>
        </w:tc>
        <w:tc>
          <w:tcPr>
            <w:tcW w:w="1276"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 </w:t>
            </w:r>
          </w:p>
        </w:tc>
      </w:tr>
      <w:tr w:rsidR="005F211B" w:rsidTr="0050214B">
        <w:tc>
          <w:tcPr>
            <w:tcW w:w="2972" w:type="dxa"/>
            <w:vAlign w:val="bottom"/>
          </w:tcPr>
          <w:p w:rsidRPr="00F30DF9" w:rsidR="005F211B" w:rsidP="005F211B" w:rsidRDefault="005F211B">
            <w:pPr>
              <w:rPr>
                <w:rFonts w:ascii="Arial" w:hAnsi="Arial" w:cs="Arial"/>
                <w:sz w:val="20"/>
                <w:szCs w:val="20"/>
              </w:rPr>
            </w:pPr>
            <w:r w:rsidRPr="00F30DF9">
              <w:rPr>
                <w:rFonts w:ascii="Arial" w:hAnsi="Arial" w:cs="Arial"/>
                <w:sz w:val="20"/>
                <w:szCs w:val="20"/>
              </w:rPr>
              <w:t>Deprivation: IDACI A</w:t>
            </w:r>
          </w:p>
        </w:tc>
        <w:tc>
          <w:tcPr>
            <w:tcW w:w="1133" w:type="dxa"/>
            <w:vAlign w:val="bottom"/>
          </w:tcPr>
          <w:p w:rsidRPr="00F30DF9" w:rsidR="005F211B" w:rsidP="005F211B" w:rsidRDefault="005F211B">
            <w:pPr>
              <w:jc w:val="right"/>
              <w:rPr>
                <w:rFonts w:ascii="Arial" w:hAnsi="Arial" w:cs="Arial"/>
                <w:sz w:val="20"/>
                <w:szCs w:val="20"/>
              </w:rPr>
            </w:pPr>
            <w:r w:rsidRPr="00F30DF9">
              <w:rPr>
                <w:rFonts w:ascii="Arial" w:hAnsi="Arial" w:cs="Arial"/>
                <w:sz w:val="20"/>
                <w:szCs w:val="20"/>
              </w:rPr>
              <w:t xml:space="preserve">402.61 </w:t>
            </w:r>
          </w:p>
        </w:tc>
        <w:tc>
          <w:tcPr>
            <w:tcW w:w="1287" w:type="dxa"/>
            <w:vAlign w:val="bottom"/>
          </w:tcPr>
          <w:p w:rsidRPr="00F30DF9" w:rsidR="005F211B" w:rsidP="005F211B" w:rsidRDefault="005F211B">
            <w:pPr>
              <w:jc w:val="right"/>
              <w:rPr>
                <w:rFonts w:ascii="Arial" w:hAnsi="Arial" w:cs="Arial"/>
                <w:sz w:val="20"/>
                <w:szCs w:val="20"/>
              </w:rPr>
            </w:pPr>
            <w:r w:rsidRPr="00F30DF9">
              <w:rPr>
                <w:rFonts w:ascii="Arial" w:hAnsi="Arial" w:cs="Arial"/>
                <w:sz w:val="20"/>
                <w:szCs w:val="20"/>
              </w:rPr>
              <w:t xml:space="preserve">575.00 </w:t>
            </w:r>
          </w:p>
        </w:tc>
        <w:tc>
          <w:tcPr>
            <w:tcW w:w="1329" w:type="dxa"/>
            <w:vAlign w:val="bottom"/>
          </w:tcPr>
          <w:p w:rsidRPr="00F30DF9" w:rsidR="005F211B" w:rsidP="005F211B" w:rsidRDefault="005F211B">
            <w:pPr>
              <w:jc w:val="right"/>
              <w:rPr>
                <w:rFonts w:ascii="Arial" w:hAnsi="Arial" w:cs="Arial"/>
                <w:sz w:val="20"/>
                <w:szCs w:val="20"/>
              </w:rPr>
            </w:pPr>
            <w:r w:rsidRPr="00F30DF9">
              <w:rPr>
                <w:rFonts w:ascii="Arial" w:hAnsi="Arial" w:cs="Arial"/>
                <w:sz w:val="20"/>
                <w:szCs w:val="20"/>
              </w:rPr>
              <w:t xml:space="preserve">231,498 </w:t>
            </w:r>
          </w:p>
        </w:tc>
        <w:tc>
          <w:tcPr>
            <w:tcW w:w="236" w:type="dxa"/>
            <w:shd w:val="clear" w:color="auto" w:fill="2E74B5" w:themeFill="accent1" w:themeFillShade="BF"/>
          </w:tcPr>
          <w:p w:rsidRPr="00E71A0A" w:rsidR="005F211B" w:rsidP="005F211B" w:rsidRDefault="005F211B">
            <w:pPr>
              <w:rPr>
                <w:rFonts w:ascii="Arial" w:hAnsi="Arial" w:cs="Arial"/>
                <w:sz w:val="20"/>
                <w:szCs w:val="20"/>
              </w:rPr>
            </w:pPr>
          </w:p>
        </w:tc>
        <w:tc>
          <w:tcPr>
            <w:tcW w:w="1118" w:type="dxa"/>
          </w:tcPr>
          <w:p w:rsidR="005F211B" w:rsidP="005F211B" w:rsidRDefault="005F211B">
            <w:pPr>
              <w:jc w:val="right"/>
            </w:pPr>
            <w:r w:rsidRPr="00A5115F">
              <w:rPr>
                <w:rFonts w:ascii="Arial" w:hAnsi="Arial" w:cs="Arial"/>
                <w:color w:val="000000"/>
                <w:sz w:val="20"/>
                <w:szCs w:val="20"/>
              </w:rPr>
              <w:t>0.00</w:t>
            </w:r>
          </w:p>
        </w:tc>
        <w:tc>
          <w:tcPr>
            <w:tcW w:w="1276"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vAlign w:val="bottom"/>
          </w:tcPr>
          <w:p w:rsidR="005F211B" w:rsidP="005F211B" w:rsidRDefault="005F211B">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vAlign w:val="bottom"/>
          </w:tcPr>
          <w:p w:rsidRPr="00F30DF9" w:rsidR="00CB683F" w:rsidP="001361FB" w:rsidRDefault="00CB683F">
            <w:pPr>
              <w:rPr>
                <w:rFonts w:ascii="Arial" w:hAnsi="Arial" w:cs="Arial"/>
                <w:sz w:val="20"/>
                <w:szCs w:val="20"/>
              </w:rPr>
            </w:pPr>
            <w:r w:rsidRPr="00F30DF9">
              <w:rPr>
                <w:rFonts w:ascii="Arial" w:hAnsi="Arial" w:cs="Arial"/>
                <w:sz w:val="20"/>
                <w:szCs w:val="20"/>
              </w:rPr>
              <w:t>LPA: EYFSP &lt;73</w:t>
            </w:r>
            <w:r w:rsidRPr="00F30DF9" w:rsidR="00F30DF9">
              <w:rPr>
                <w:rFonts w:ascii="Arial" w:hAnsi="Arial" w:cs="Arial"/>
                <w:sz w:val="20"/>
                <w:szCs w:val="20"/>
              </w:rPr>
              <w:t>/Assessment</w:t>
            </w:r>
          </w:p>
        </w:tc>
        <w:tc>
          <w:tcPr>
            <w:tcW w:w="1133" w:type="dxa"/>
            <w:shd w:val="clear" w:color="auto" w:fill="auto"/>
            <w:vAlign w:val="bottom"/>
          </w:tcPr>
          <w:p w:rsidRPr="00F30DF9" w:rsidR="00CB683F" w:rsidP="001361FB" w:rsidRDefault="00CB683F">
            <w:pPr>
              <w:jc w:val="right"/>
              <w:rPr>
                <w:rFonts w:ascii="Arial" w:hAnsi="Arial" w:cs="Arial"/>
                <w:sz w:val="20"/>
                <w:szCs w:val="20"/>
              </w:rPr>
            </w:pPr>
            <w:r w:rsidRPr="00F30DF9">
              <w:rPr>
                <w:rFonts w:ascii="Arial" w:hAnsi="Arial" w:cs="Arial"/>
                <w:sz w:val="20"/>
                <w:szCs w:val="20"/>
              </w:rPr>
              <w:t xml:space="preserve">6,528.35 </w:t>
            </w:r>
          </w:p>
        </w:tc>
        <w:tc>
          <w:tcPr>
            <w:tcW w:w="1287" w:type="dxa"/>
            <w:shd w:val="clear" w:color="auto" w:fill="auto"/>
            <w:vAlign w:val="bottom"/>
          </w:tcPr>
          <w:p w:rsidRPr="00F30DF9" w:rsidR="00CB683F" w:rsidP="001361FB" w:rsidRDefault="00F30DF9">
            <w:pPr>
              <w:jc w:val="right"/>
              <w:rPr>
                <w:rFonts w:ascii="Arial" w:hAnsi="Arial" w:cs="Arial"/>
                <w:sz w:val="20"/>
                <w:szCs w:val="20"/>
              </w:rPr>
            </w:pPr>
            <w:r w:rsidRPr="00F30DF9">
              <w:rPr>
                <w:rFonts w:ascii="Arial" w:hAnsi="Arial" w:cs="Arial"/>
                <w:sz w:val="20"/>
                <w:szCs w:val="20"/>
              </w:rPr>
              <w:t>0.00</w:t>
            </w:r>
          </w:p>
        </w:tc>
        <w:tc>
          <w:tcPr>
            <w:tcW w:w="1329" w:type="dxa"/>
            <w:shd w:val="clear" w:color="auto" w:fill="auto"/>
            <w:vAlign w:val="bottom"/>
          </w:tcPr>
          <w:p w:rsidRPr="00F30DF9" w:rsidR="00CB683F" w:rsidP="001361FB" w:rsidRDefault="00F30DF9">
            <w:pPr>
              <w:jc w:val="right"/>
              <w:rPr>
                <w:rFonts w:ascii="Arial" w:hAnsi="Arial" w:cs="Arial"/>
                <w:sz w:val="20"/>
                <w:szCs w:val="20"/>
              </w:rPr>
            </w:pPr>
            <w:r w:rsidRPr="00F30DF9">
              <w:rPr>
                <w:rFonts w:ascii="Arial" w:hAnsi="Arial" w:cs="Arial"/>
                <w:sz w:val="20"/>
                <w:szCs w:val="20"/>
              </w:rPr>
              <w:t>0</w:t>
            </w:r>
          </w:p>
        </w:tc>
        <w:tc>
          <w:tcPr>
            <w:tcW w:w="236" w:type="dxa"/>
            <w:shd w:val="clear" w:color="auto" w:fill="2E74B5" w:themeFill="accent1" w:themeFillShade="BF"/>
          </w:tcPr>
          <w:p w:rsidRPr="00BB59BC" w:rsidR="00CB683F" w:rsidP="001361FB" w:rsidRDefault="00CB683F">
            <w:pPr>
              <w:rPr>
                <w:rFonts w:ascii="Arial" w:hAnsi="Arial" w:cs="Arial"/>
                <w:sz w:val="20"/>
                <w:szCs w:val="20"/>
                <w:highlight w:val="yellow"/>
              </w:rPr>
            </w:pPr>
          </w:p>
        </w:tc>
        <w:tc>
          <w:tcPr>
            <w:tcW w:w="1118" w:type="dxa"/>
            <w:vAlign w:val="bottom"/>
          </w:tcPr>
          <w:p w:rsidRPr="005F211B" w:rsidR="00CB683F" w:rsidP="001361FB" w:rsidRDefault="00CB683F">
            <w:pPr>
              <w:jc w:val="right"/>
              <w:rPr>
                <w:rFonts w:ascii="Arial" w:hAnsi="Arial" w:cs="Arial"/>
                <w:color w:val="000000"/>
                <w:sz w:val="20"/>
                <w:szCs w:val="20"/>
              </w:rPr>
            </w:pPr>
            <w:r w:rsidRPr="005F211B">
              <w:rPr>
                <w:rFonts w:ascii="Arial" w:hAnsi="Arial" w:cs="Arial"/>
                <w:color w:val="000000"/>
                <w:sz w:val="20"/>
                <w:szCs w:val="20"/>
              </w:rPr>
              <w:t xml:space="preserve">6,528.35 </w:t>
            </w:r>
          </w:p>
        </w:tc>
        <w:tc>
          <w:tcPr>
            <w:tcW w:w="1276" w:type="dxa"/>
            <w:vAlign w:val="bottom"/>
          </w:tcPr>
          <w:p w:rsidRPr="005F211B" w:rsidR="00CB683F" w:rsidP="001361FB" w:rsidRDefault="00CB683F">
            <w:pPr>
              <w:jc w:val="right"/>
              <w:rPr>
                <w:rFonts w:ascii="Arial" w:hAnsi="Arial" w:cs="Arial"/>
                <w:color w:val="000000"/>
                <w:sz w:val="20"/>
                <w:szCs w:val="20"/>
              </w:rPr>
            </w:pPr>
            <w:r w:rsidRPr="005F211B">
              <w:rPr>
                <w:rFonts w:ascii="Arial" w:hAnsi="Arial" w:cs="Arial"/>
                <w:color w:val="000000"/>
                <w:sz w:val="20"/>
                <w:szCs w:val="20"/>
              </w:rPr>
              <w:t xml:space="preserve">161.29 </w:t>
            </w:r>
          </w:p>
        </w:tc>
        <w:tc>
          <w:tcPr>
            <w:tcW w:w="1329" w:type="dxa"/>
            <w:vAlign w:val="bottom"/>
          </w:tcPr>
          <w:p w:rsidRPr="005F211B" w:rsidR="00CB683F" w:rsidP="001361FB" w:rsidRDefault="00CB683F">
            <w:pPr>
              <w:jc w:val="right"/>
              <w:rPr>
                <w:rFonts w:ascii="Arial" w:hAnsi="Arial" w:cs="Arial"/>
                <w:color w:val="000000"/>
                <w:sz w:val="20"/>
                <w:szCs w:val="20"/>
              </w:rPr>
            </w:pPr>
            <w:r w:rsidRPr="005F211B">
              <w:rPr>
                <w:rFonts w:ascii="Arial" w:hAnsi="Arial" w:cs="Arial"/>
                <w:color w:val="000000"/>
                <w:sz w:val="20"/>
                <w:szCs w:val="20"/>
              </w:rPr>
              <w:t xml:space="preserve">1,052,976 </w:t>
            </w:r>
          </w:p>
        </w:tc>
      </w:tr>
      <w:tr w:rsidR="00F30DF9" w:rsidTr="0050214B">
        <w:tc>
          <w:tcPr>
            <w:tcW w:w="2972" w:type="dxa"/>
            <w:vAlign w:val="bottom"/>
          </w:tcPr>
          <w:p w:rsidRPr="00F30DF9" w:rsidR="00F30DF9" w:rsidP="00F30DF9" w:rsidRDefault="00F30DF9">
            <w:pPr>
              <w:rPr>
                <w:rFonts w:ascii="Arial" w:hAnsi="Arial" w:cs="Arial"/>
                <w:sz w:val="20"/>
                <w:szCs w:val="20"/>
              </w:rPr>
            </w:pPr>
            <w:r w:rsidRPr="00F30DF9">
              <w:rPr>
                <w:rFonts w:ascii="Arial" w:hAnsi="Arial" w:cs="Arial"/>
                <w:sz w:val="20"/>
                <w:szCs w:val="20"/>
              </w:rPr>
              <w:t>LPA: EYFSP &lt;78/Assessment</w:t>
            </w:r>
          </w:p>
        </w:tc>
        <w:tc>
          <w:tcPr>
            <w:tcW w:w="1133" w:type="dxa"/>
            <w:vAlign w:val="center"/>
          </w:tcPr>
          <w:p w:rsidRPr="00F30DF9" w:rsidR="00F30DF9" w:rsidP="004172F5" w:rsidRDefault="00F30DF9">
            <w:pPr>
              <w:jc w:val="right"/>
              <w:rPr>
                <w:rFonts w:ascii="Arial" w:hAnsi="Arial" w:cs="Arial"/>
                <w:sz w:val="20"/>
                <w:szCs w:val="20"/>
              </w:rPr>
            </w:pPr>
            <w:r w:rsidRPr="00F30DF9">
              <w:rPr>
                <w:rFonts w:ascii="Arial" w:hAnsi="Arial" w:cs="Arial"/>
                <w:sz w:val="20"/>
                <w:szCs w:val="20"/>
              </w:rPr>
              <w:t>17,8</w:t>
            </w:r>
            <w:r w:rsidR="004172F5">
              <w:rPr>
                <w:rFonts w:ascii="Arial" w:hAnsi="Arial" w:cs="Arial"/>
                <w:sz w:val="20"/>
                <w:szCs w:val="20"/>
              </w:rPr>
              <w:t>87.91</w:t>
            </w:r>
          </w:p>
        </w:tc>
        <w:tc>
          <w:tcPr>
            <w:tcW w:w="1287" w:type="dxa"/>
            <w:vAlign w:val="center"/>
          </w:tcPr>
          <w:p w:rsidRPr="00F30DF9" w:rsidR="00F30DF9" w:rsidP="004172F5" w:rsidRDefault="004172F5">
            <w:pPr>
              <w:jc w:val="right"/>
              <w:rPr>
                <w:rFonts w:ascii="Arial" w:hAnsi="Arial" w:cs="Arial"/>
                <w:sz w:val="20"/>
                <w:szCs w:val="20"/>
              </w:rPr>
            </w:pPr>
            <w:r>
              <w:rPr>
                <w:rFonts w:ascii="Arial" w:hAnsi="Arial" w:cs="Arial"/>
                <w:sz w:val="20"/>
                <w:szCs w:val="20"/>
              </w:rPr>
              <w:t>540</w:t>
            </w:r>
            <w:r w:rsidRPr="00F30DF9" w:rsidR="00F30DF9">
              <w:rPr>
                <w:rFonts w:ascii="Arial" w:hAnsi="Arial" w:cs="Arial"/>
                <w:sz w:val="20"/>
                <w:szCs w:val="20"/>
              </w:rPr>
              <w:t xml:space="preserve">.00 </w:t>
            </w:r>
          </w:p>
        </w:tc>
        <w:tc>
          <w:tcPr>
            <w:tcW w:w="1329" w:type="dxa"/>
            <w:vAlign w:val="center"/>
          </w:tcPr>
          <w:p w:rsidRPr="00F30DF9" w:rsidR="00F30DF9" w:rsidP="00113B57" w:rsidRDefault="004172F5">
            <w:pPr>
              <w:jc w:val="right"/>
              <w:rPr>
                <w:rFonts w:ascii="Arial" w:hAnsi="Arial" w:cs="Arial"/>
                <w:sz w:val="20"/>
                <w:szCs w:val="20"/>
              </w:rPr>
            </w:pPr>
            <w:r>
              <w:rPr>
                <w:rFonts w:ascii="Arial" w:hAnsi="Arial" w:cs="Arial"/>
                <w:sz w:val="20"/>
                <w:szCs w:val="20"/>
              </w:rPr>
              <w:t>9,</w:t>
            </w:r>
            <w:r w:rsidR="00113B57">
              <w:rPr>
                <w:rFonts w:ascii="Arial" w:hAnsi="Arial" w:cs="Arial"/>
                <w:sz w:val="20"/>
                <w:szCs w:val="20"/>
              </w:rPr>
              <w:t>6</w:t>
            </w:r>
            <w:r>
              <w:rPr>
                <w:rFonts w:ascii="Arial" w:hAnsi="Arial" w:cs="Arial"/>
                <w:sz w:val="20"/>
                <w:szCs w:val="20"/>
              </w:rPr>
              <w:t>59,470</w:t>
            </w:r>
          </w:p>
        </w:tc>
        <w:tc>
          <w:tcPr>
            <w:tcW w:w="236" w:type="dxa"/>
            <w:shd w:val="clear" w:color="auto" w:fill="2E74B5" w:themeFill="accent1" w:themeFillShade="BF"/>
            <w:vAlign w:val="center"/>
          </w:tcPr>
          <w:p w:rsidRPr="00BB59BC" w:rsidR="00F30DF9" w:rsidP="00F30DF9" w:rsidRDefault="00F30DF9">
            <w:pPr>
              <w:rPr>
                <w:rFonts w:ascii="Arial" w:hAnsi="Arial" w:cs="Arial"/>
                <w:sz w:val="20"/>
                <w:szCs w:val="20"/>
                <w:highlight w:val="yellow"/>
              </w:rPr>
            </w:pPr>
          </w:p>
        </w:tc>
        <w:tc>
          <w:tcPr>
            <w:tcW w:w="1118" w:type="dxa"/>
            <w:vAlign w:val="center"/>
          </w:tcPr>
          <w:p w:rsidRPr="005F211B" w:rsidR="00F30DF9" w:rsidP="00F30DF9" w:rsidRDefault="00F30DF9">
            <w:pPr>
              <w:jc w:val="right"/>
              <w:rPr>
                <w:rFonts w:ascii="Arial" w:hAnsi="Arial" w:cs="Arial"/>
                <w:color w:val="000000"/>
                <w:sz w:val="20"/>
                <w:szCs w:val="20"/>
              </w:rPr>
            </w:pPr>
            <w:r w:rsidRPr="005F211B">
              <w:rPr>
                <w:rFonts w:ascii="Arial" w:hAnsi="Arial" w:cs="Arial"/>
                <w:color w:val="000000"/>
                <w:sz w:val="20"/>
                <w:szCs w:val="20"/>
              </w:rPr>
              <w:t>0.00</w:t>
            </w:r>
          </w:p>
        </w:tc>
        <w:tc>
          <w:tcPr>
            <w:tcW w:w="1276" w:type="dxa"/>
            <w:vAlign w:val="center"/>
          </w:tcPr>
          <w:p w:rsidRPr="005F211B" w:rsidR="00F30DF9" w:rsidP="00F30DF9" w:rsidRDefault="00F30DF9">
            <w:pPr>
              <w:jc w:val="right"/>
              <w:rPr>
                <w:rFonts w:ascii="Arial" w:hAnsi="Arial" w:cs="Arial"/>
                <w:color w:val="000000"/>
                <w:sz w:val="20"/>
                <w:szCs w:val="20"/>
              </w:rPr>
            </w:pPr>
            <w:r w:rsidRPr="005F211B">
              <w:rPr>
                <w:rFonts w:ascii="Arial" w:hAnsi="Arial" w:cs="Arial"/>
                <w:color w:val="000000"/>
                <w:sz w:val="20"/>
                <w:szCs w:val="20"/>
              </w:rPr>
              <w:t xml:space="preserve">0.00 </w:t>
            </w:r>
          </w:p>
        </w:tc>
        <w:tc>
          <w:tcPr>
            <w:tcW w:w="1329" w:type="dxa"/>
            <w:vAlign w:val="center"/>
          </w:tcPr>
          <w:p w:rsidRPr="005F211B" w:rsidR="00F30DF9" w:rsidP="00F30DF9" w:rsidRDefault="00F30DF9">
            <w:pPr>
              <w:jc w:val="right"/>
              <w:rPr>
                <w:rFonts w:ascii="Arial" w:hAnsi="Arial" w:cs="Arial"/>
                <w:color w:val="000000"/>
                <w:sz w:val="20"/>
                <w:szCs w:val="20"/>
              </w:rPr>
            </w:pPr>
            <w:r w:rsidRPr="005F211B">
              <w:rPr>
                <w:rFonts w:ascii="Arial" w:hAnsi="Arial" w:cs="Arial"/>
                <w:color w:val="000000"/>
                <w:sz w:val="20"/>
                <w:szCs w:val="20"/>
              </w:rPr>
              <w:t xml:space="preserve">0 </w:t>
            </w:r>
          </w:p>
        </w:tc>
      </w:tr>
      <w:tr w:rsidR="00CB683F" w:rsidTr="0050214B">
        <w:tc>
          <w:tcPr>
            <w:tcW w:w="2972" w:type="dxa"/>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EAL: 1 Y</w:t>
            </w:r>
            <w:r>
              <w:rPr>
                <w:rFonts w:ascii="Arial" w:hAnsi="Arial" w:cs="Arial"/>
                <w:sz w:val="20"/>
                <w:szCs w:val="20"/>
              </w:rPr>
              <w:t>ear</w:t>
            </w:r>
          </w:p>
        </w:tc>
        <w:tc>
          <w:tcPr>
            <w:tcW w:w="1133" w:type="dxa"/>
            <w:vAlign w:val="bottom"/>
          </w:tcPr>
          <w:p w:rsidRPr="00F30DF9" w:rsidR="00CB683F" w:rsidP="001361FB" w:rsidRDefault="00CB683F">
            <w:pPr>
              <w:jc w:val="right"/>
              <w:rPr>
                <w:rFonts w:ascii="Arial" w:hAnsi="Arial" w:cs="Arial"/>
                <w:sz w:val="20"/>
                <w:szCs w:val="20"/>
              </w:rPr>
            </w:pPr>
            <w:r w:rsidRPr="00F30DF9">
              <w:rPr>
                <w:rFonts w:ascii="Arial" w:hAnsi="Arial" w:cs="Arial"/>
                <w:sz w:val="20"/>
                <w:szCs w:val="20"/>
              </w:rPr>
              <w:t xml:space="preserve">408.70 </w:t>
            </w:r>
          </w:p>
        </w:tc>
        <w:tc>
          <w:tcPr>
            <w:tcW w:w="1287" w:type="dxa"/>
            <w:vAlign w:val="bottom"/>
          </w:tcPr>
          <w:p w:rsidRPr="00F30DF9" w:rsidR="00CB683F" w:rsidP="001361FB" w:rsidRDefault="00CB683F">
            <w:pPr>
              <w:jc w:val="right"/>
              <w:rPr>
                <w:rFonts w:ascii="Arial" w:hAnsi="Arial" w:cs="Arial"/>
                <w:sz w:val="20"/>
                <w:szCs w:val="20"/>
              </w:rPr>
            </w:pPr>
            <w:r w:rsidRPr="00F30DF9">
              <w:rPr>
                <w:rFonts w:ascii="Arial" w:hAnsi="Arial" w:cs="Arial"/>
                <w:sz w:val="20"/>
                <w:szCs w:val="20"/>
              </w:rPr>
              <w:t xml:space="preserve">0.00 </w:t>
            </w:r>
          </w:p>
        </w:tc>
        <w:tc>
          <w:tcPr>
            <w:tcW w:w="1329" w:type="dxa"/>
            <w:vAlign w:val="bottom"/>
          </w:tcPr>
          <w:p w:rsidRPr="00F30DF9" w:rsidR="00CB683F" w:rsidP="001361FB" w:rsidRDefault="00CB683F">
            <w:pPr>
              <w:jc w:val="right"/>
              <w:rPr>
                <w:rFonts w:ascii="Arial" w:hAnsi="Arial" w:cs="Arial"/>
                <w:sz w:val="20"/>
                <w:szCs w:val="20"/>
              </w:rPr>
            </w:pPr>
            <w:r w:rsidRPr="00F30DF9">
              <w:rPr>
                <w:rFonts w:ascii="Arial" w:hAnsi="Arial" w:cs="Arial"/>
                <w:sz w:val="20"/>
                <w:szCs w:val="20"/>
              </w:rPr>
              <w:t xml:space="preserve">0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408.70 </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356.32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145,627 </w:t>
            </w:r>
          </w:p>
        </w:tc>
      </w:tr>
      <w:tr w:rsidR="00CB683F" w:rsidTr="0050214B">
        <w:tc>
          <w:tcPr>
            <w:tcW w:w="2972" w:type="dxa"/>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EAL: 3 Y</w:t>
            </w:r>
            <w:r>
              <w:rPr>
                <w:rFonts w:ascii="Arial" w:hAnsi="Arial" w:cs="Arial"/>
                <w:sz w:val="20"/>
                <w:szCs w:val="20"/>
              </w:rPr>
              <w:t>ears</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1,086.32 </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515.00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559,454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5F211B">
            <w:pPr>
              <w:jc w:val="right"/>
              <w:rPr>
                <w:rFonts w:ascii="Arial" w:hAnsi="Arial" w:cs="Arial"/>
                <w:color w:val="000000"/>
                <w:sz w:val="20"/>
                <w:szCs w:val="20"/>
              </w:rPr>
            </w:pPr>
            <w:r>
              <w:rPr>
                <w:rFonts w:ascii="Arial" w:hAnsi="Arial" w:cs="Arial"/>
                <w:color w:val="000000"/>
                <w:sz w:val="20"/>
                <w:szCs w:val="20"/>
              </w:rPr>
              <w:t>0.00</w:t>
            </w:r>
            <w:r w:rsidR="00CB683F">
              <w:rPr>
                <w:rFonts w:ascii="Arial" w:hAnsi="Arial" w:cs="Arial"/>
                <w:color w:val="000000"/>
                <w:sz w:val="20"/>
                <w:szCs w:val="20"/>
              </w:rPr>
              <w:t xml:space="preserve"> </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tcPr>
          <w:p w:rsidRPr="00E71A0A" w:rsidR="00CB683F" w:rsidP="001361FB" w:rsidRDefault="00CB683F">
            <w:pPr>
              <w:rPr>
                <w:rFonts w:ascii="Arial" w:hAnsi="Arial" w:cs="Arial"/>
                <w:b/>
                <w:sz w:val="20"/>
                <w:szCs w:val="20"/>
              </w:rPr>
            </w:pPr>
            <w:r w:rsidRPr="00E71A0A">
              <w:rPr>
                <w:rFonts w:ascii="Arial" w:hAnsi="Arial" w:cs="Arial"/>
                <w:b/>
                <w:sz w:val="20"/>
                <w:szCs w:val="20"/>
              </w:rPr>
              <w:t>S</w:t>
            </w:r>
            <w:r>
              <w:rPr>
                <w:rFonts w:ascii="Arial" w:hAnsi="Arial" w:cs="Arial"/>
                <w:b/>
                <w:sz w:val="20"/>
                <w:szCs w:val="20"/>
              </w:rPr>
              <w:t>ub Total – Pupil Led</w:t>
            </w:r>
          </w:p>
        </w:tc>
        <w:tc>
          <w:tcPr>
            <w:tcW w:w="1133" w:type="dxa"/>
          </w:tcPr>
          <w:p w:rsidRPr="00E71A0A" w:rsidR="00CB683F" w:rsidP="001361FB" w:rsidRDefault="00CB683F">
            <w:pPr>
              <w:rPr>
                <w:rFonts w:ascii="Arial" w:hAnsi="Arial" w:cs="Arial"/>
                <w:b/>
                <w:sz w:val="20"/>
                <w:szCs w:val="20"/>
              </w:rPr>
            </w:pPr>
          </w:p>
        </w:tc>
        <w:tc>
          <w:tcPr>
            <w:tcW w:w="1287" w:type="dxa"/>
          </w:tcPr>
          <w:p w:rsidRPr="00E71A0A" w:rsidR="00CB683F" w:rsidP="001361FB" w:rsidRDefault="00CB683F">
            <w:pPr>
              <w:rPr>
                <w:rFonts w:ascii="Arial" w:hAnsi="Arial" w:cs="Arial"/>
                <w:b/>
                <w:sz w:val="20"/>
                <w:szCs w:val="20"/>
              </w:rPr>
            </w:pPr>
          </w:p>
        </w:tc>
        <w:tc>
          <w:tcPr>
            <w:tcW w:w="1329" w:type="dxa"/>
            <w:vAlign w:val="bottom"/>
          </w:tcPr>
          <w:p w:rsidRPr="00E71A0A" w:rsidR="00CB683F" w:rsidP="005903B3" w:rsidRDefault="00CB683F">
            <w:pPr>
              <w:jc w:val="right"/>
              <w:rPr>
                <w:rFonts w:ascii="Arial" w:hAnsi="Arial" w:cs="Arial"/>
                <w:b/>
                <w:bCs/>
                <w:color w:val="000000"/>
                <w:sz w:val="20"/>
                <w:szCs w:val="20"/>
              </w:rPr>
            </w:pPr>
            <w:r w:rsidRPr="00E71A0A">
              <w:rPr>
                <w:rFonts w:ascii="Arial" w:hAnsi="Arial" w:cs="Arial"/>
                <w:b/>
                <w:bCs/>
                <w:color w:val="000000"/>
                <w:sz w:val="20"/>
                <w:szCs w:val="20"/>
              </w:rPr>
              <w:t>1</w:t>
            </w:r>
            <w:r w:rsidR="004172F5">
              <w:rPr>
                <w:rFonts w:ascii="Arial" w:hAnsi="Arial" w:cs="Arial"/>
                <w:b/>
                <w:bCs/>
                <w:color w:val="000000"/>
                <w:sz w:val="20"/>
                <w:szCs w:val="20"/>
              </w:rPr>
              <w:t>90</w:t>
            </w:r>
            <w:r w:rsidRPr="00E71A0A">
              <w:rPr>
                <w:rFonts w:ascii="Arial" w:hAnsi="Arial" w:cs="Arial"/>
                <w:b/>
                <w:bCs/>
                <w:color w:val="000000"/>
                <w:sz w:val="20"/>
                <w:szCs w:val="20"/>
              </w:rPr>
              <w:t>,</w:t>
            </w:r>
            <w:r w:rsidR="004172F5">
              <w:rPr>
                <w:rFonts w:ascii="Arial" w:hAnsi="Arial" w:cs="Arial"/>
                <w:b/>
                <w:bCs/>
                <w:color w:val="000000"/>
                <w:sz w:val="20"/>
                <w:szCs w:val="20"/>
              </w:rPr>
              <w:t>022,</w:t>
            </w:r>
            <w:r w:rsidR="005903B3">
              <w:rPr>
                <w:rFonts w:ascii="Arial" w:hAnsi="Arial" w:cs="Arial"/>
                <w:b/>
                <w:bCs/>
                <w:color w:val="000000"/>
                <w:sz w:val="20"/>
                <w:szCs w:val="20"/>
              </w:rPr>
              <w:t>315</w:t>
            </w:r>
          </w:p>
        </w:tc>
        <w:tc>
          <w:tcPr>
            <w:tcW w:w="236" w:type="dxa"/>
            <w:shd w:val="clear" w:color="auto" w:fill="2E74B5" w:themeFill="accent1" w:themeFillShade="BF"/>
          </w:tcPr>
          <w:p w:rsidRPr="00E71A0A" w:rsidR="00CB683F" w:rsidP="001361FB" w:rsidRDefault="00CB683F">
            <w:pPr>
              <w:rPr>
                <w:rFonts w:ascii="Arial" w:hAnsi="Arial" w:cs="Arial"/>
                <w:b/>
                <w:sz w:val="20"/>
                <w:szCs w:val="20"/>
              </w:rPr>
            </w:pPr>
          </w:p>
        </w:tc>
        <w:tc>
          <w:tcPr>
            <w:tcW w:w="1118" w:type="dxa"/>
            <w:vAlign w:val="bottom"/>
          </w:tcPr>
          <w:p w:rsidRPr="00E71A0A" w:rsidR="00CB683F" w:rsidP="001361FB" w:rsidRDefault="00CB683F">
            <w:pPr>
              <w:jc w:val="right"/>
              <w:rPr>
                <w:rFonts w:ascii="Arial" w:hAnsi="Arial" w:cs="Arial"/>
                <w:b/>
                <w:color w:val="000000"/>
                <w:sz w:val="20"/>
                <w:szCs w:val="20"/>
              </w:rPr>
            </w:pPr>
          </w:p>
        </w:tc>
        <w:tc>
          <w:tcPr>
            <w:tcW w:w="1276" w:type="dxa"/>
            <w:vAlign w:val="bottom"/>
          </w:tcPr>
          <w:p w:rsidRPr="00E71A0A" w:rsidR="00CB683F" w:rsidP="001361FB" w:rsidRDefault="00CB683F">
            <w:pPr>
              <w:rPr>
                <w:b/>
                <w:sz w:val="20"/>
                <w:szCs w:val="20"/>
              </w:rPr>
            </w:pPr>
          </w:p>
        </w:tc>
        <w:tc>
          <w:tcPr>
            <w:tcW w:w="1329" w:type="dxa"/>
            <w:vAlign w:val="bottom"/>
          </w:tcPr>
          <w:p w:rsidR="00CB683F" w:rsidP="001361FB" w:rsidRDefault="00CB683F">
            <w:pPr>
              <w:jc w:val="right"/>
              <w:rPr>
                <w:rFonts w:ascii="Arial" w:hAnsi="Arial" w:cs="Arial"/>
                <w:b/>
                <w:bCs/>
                <w:color w:val="000000"/>
                <w:sz w:val="20"/>
                <w:szCs w:val="20"/>
              </w:rPr>
            </w:pPr>
            <w:r>
              <w:rPr>
                <w:rFonts w:ascii="Arial" w:hAnsi="Arial" w:cs="Arial"/>
                <w:b/>
                <w:bCs/>
                <w:color w:val="000000"/>
                <w:sz w:val="20"/>
                <w:szCs w:val="20"/>
              </w:rPr>
              <w:t xml:space="preserve">177,697,203 </w:t>
            </w:r>
          </w:p>
        </w:tc>
      </w:tr>
      <w:tr w:rsidR="00CB683F" w:rsidTr="0050214B">
        <w:tc>
          <w:tcPr>
            <w:tcW w:w="2972" w:type="dxa"/>
          </w:tcPr>
          <w:p w:rsidRPr="00E71A0A" w:rsidR="00CB683F" w:rsidP="001361FB" w:rsidRDefault="00CB683F">
            <w:pPr>
              <w:ind w:left="-113"/>
              <w:rPr>
                <w:rFonts w:ascii="Arial" w:hAnsi="Arial" w:cs="Arial"/>
                <w:sz w:val="20"/>
                <w:szCs w:val="20"/>
              </w:rPr>
            </w:pPr>
          </w:p>
        </w:tc>
        <w:tc>
          <w:tcPr>
            <w:tcW w:w="1133" w:type="dxa"/>
          </w:tcPr>
          <w:p w:rsidRPr="00E71A0A" w:rsidR="00CB683F" w:rsidP="001361FB" w:rsidRDefault="00CB683F">
            <w:pPr>
              <w:rPr>
                <w:rFonts w:ascii="Arial" w:hAnsi="Arial" w:cs="Arial"/>
                <w:sz w:val="20"/>
                <w:szCs w:val="20"/>
              </w:rPr>
            </w:pPr>
          </w:p>
        </w:tc>
        <w:tc>
          <w:tcPr>
            <w:tcW w:w="1287" w:type="dxa"/>
          </w:tcPr>
          <w:p w:rsidRPr="00E71A0A" w:rsidR="00CB683F" w:rsidP="001361FB" w:rsidRDefault="00CB683F">
            <w:pPr>
              <w:rPr>
                <w:rFonts w:ascii="Arial" w:hAnsi="Arial" w:cs="Arial"/>
                <w:sz w:val="20"/>
                <w:szCs w:val="20"/>
              </w:rPr>
            </w:pPr>
          </w:p>
        </w:tc>
        <w:tc>
          <w:tcPr>
            <w:tcW w:w="1329" w:type="dxa"/>
          </w:tcPr>
          <w:p w:rsidRPr="00E71A0A" w:rsidR="00CB683F" w:rsidP="001361FB" w:rsidRDefault="00CB683F">
            <w:pPr>
              <w:rPr>
                <w:rFonts w:ascii="Arial" w:hAnsi="Arial" w:cs="Arial"/>
                <w:sz w:val="20"/>
                <w:szCs w:val="20"/>
              </w:rPr>
            </w:pP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b/>
                <w:bCs/>
                <w:color w:val="000000"/>
                <w:sz w:val="20"/>
                <w:szCs w:val="20"/>
              </w:rPr>
            </w:pPr>
          </w:p>
        </w:tc>
        <w:tc>
          <w:tcPr>
            <w:tcW w:w="1276" w:type="dxa"/>
            <w:vAlign w:val="bottom"/>
          </w:tcPr>
          <w:p w:rsidR="00CB683F" w:rsidP="001361FB" w:rsidRDefault="00CB683F">
            <w:pPr>
              <w:rPr>
                <w:sz w:val="20"/>
                <w:szCs w:val="20"/>
              </w:rPr>
            </w:pPr>
          </w:p>
        </w:tc>
        <w:tc>
          <w:tcPr>
            <w:tcW w:w="1329" w:type="dxa"/>
            <w:vAlign w:val="bottom"/>
          </w:tcPr>
          <w:p w:rsidR="00CB683F" w:rsidP="001361FB" w:rsidRDefault="00CB683F">
            <w:pPr>
              <w:rPr>
                <w:sz w:val="20"/>
                <w:szCs w:val="20"/>
              </w:rPr>
            </w:pPr>
          </w:p>
        </w:tc>
      </w:tr>
      <w:tr w:rsidR="00CB683F" w:rsidTr="0050214B">
        <w:tc>
          <w:tcPr>
            <w:tcW w:w="2972" w:type="dxa"/>
            <w:vAlign w:val="bottom"/>
          </w:tcPr>
          <w:p w:rsidRPr="00E71A0A" w:rsidR="00CB683F" w:rsidP="001361FB" w:rsidRDefault="00CB683F">
            <w:pPr>
              <w:rPr>
                <w:rFonts w:ascii="Arial" w:hAnsi="Arial" w:cs="Arial"/>
                <w:sz w:val="20"/>
                <w:szCs w:val="20"/>
              </w:rPr>
            </w:pPr>
            <w:r>
              <w:rPr>
                <w:rFonts w:ascii="Arial" w:hAnsi="Arial" w:cs="Arial"/>
                <w:sz w:val="20"/>
                <w:szCs w:val="20"/>
              </w:rPr>
              <w:t>Lump Sum</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350.00 </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110,000.00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38,500,000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350.00 </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129,621.79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45,367,626 </w:t>
            </w:r>
          </w:p>
        </w:tc>
      </w:tr>
      <w:tr w:rsidR="00CB683F" w:rsidTr="0050214B">
        <w:tc>
          <w:tcPr>
            <w:tcW w:w="2972" w:type="dxa"/>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S</w:t>
            </w:r>
            <w:r>
              <w:rPr>
                <w:rFonts w:ascii="Arial" w:hAnsi="Arial" w:cs="Arial"/>
                <w:sz w:val="20"/>
                <w:szCs w:val="20"/>
              </w:rPr>
              <w:t>parsity</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11.24 </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25,000.00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281,108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5F211B">
            <w:pPr>
              <w:jc w:val="right"/>
              <w:rPr>
                <w:rFonts w:ascii="Arial" w:hAnsi="Arial" w:cs="Arial"/>
                <w:color w:val="000000"/>
                <w:sz w:val="20"/>
                <w:szCs w:val="20"/>
              </w:rPr>
            </w:pPr>
            <w:r>
              <w:rPr>
                <w:rFonts w:ascii="Arial" w:hAnsi="Arial" w:cs="Arial"/>
                <w:color w:val="000000"/>
                <w:sz w:val="20"/>
                <w:szCs w:val="20"/>
              </w:rPr>
              <w:t>0.00</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S</w:t>
            </w:r>
            <w:r>
              <w:rPr>
                <w:rFonts w:ascii="Arial" w:hAnsi="Arial" w:cs="Arial"/>
                <w:sz w:val="20"/>
                <w:szCs w:val="20"/>
              </w:rPr>
              <w:t>plit Site</w:t>
            </w:r>
            <w:r w:rsidRPr="00E71A0A">
              <w:rPr>
                <w:rFonts w:ascii="Arial" w:hAnsi="Arial" w:cs="Arial"/>
                <w:sz w:val="20"/>
                <w:szCs w:val="20"/>
              </w:rPr>
              <w:t>: &lt;500m</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4.00 </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2,489.91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9,960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4.00 </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2,489.91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9,960 </w:t>
            </w:r>
          </w:p>
        </w:tc>
      </w:tr>
      <w:tr w:rsidR="00CB683F" w:rsidTr="0050214B">
        <w:tc>
          <w:tcPr>
            <w:tcW w:w="2972" w:type="dxa"/>
            <w:vAlign w:val="bottom"/>
          </w:tcPr>
          <w:p w:rsidRPr="00E71A0A" w:rsidR="00CB683F" w:rsidP="001361FB" w:rsidRDefault="00CB683F">
            <w:pPr>
              <w:rPr>
                <w:rFonts w:ascii="Arial" w:hAnsi="Arial" w:cs="Arial"/>
                <w:sz w:val="20"/>
                <w:szCs w:val="20"/>
              </w:rPr>
            </w:pPr>
            <w:r>
              <w:rPr>
                <w:rFonts w:ascii="Arial" w:hAnsi="Arial" w:cs="Arial"/>
                <w:sz w:val="20"/>
                <w:szCs w:val="20"/>
              </w:rPr>
              <w:t>Split Site</w:t>
            </w:r>
            <w:r w:rsidRPr="00E71A0A">
              <w:rPr>
                <w:rFonts w:ascii="Arial" w:hAnsi="Arial" w:cs="Arial"/>
                <w:sz w:val="20"/>
                <w:szCs w:val="20"/>
              </w:rPr>
              <w:t>: &gt;500m</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2.00 </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35,088.03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70,176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2.00 </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35,088.03 </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70,176 </w:t>
            </w:r>
          </w:p>
        </w:tc>
      </w:tr>
      <w:tr w:rsidR="00CB683F" w:rsidTr="0050214B">
        <w:tc>
          <w:tcPr>
            <w:tcW w:w="2972" w:type="dxa"/>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R</w:t>
            </w:r>
            <w:r>
              <w:rPr>
                <w:rFonts w:ascii="Arial" w:hAnsi="Arial" w:cs="Arial"/>
                <w:sz w:val="20"/>
                <w:szCs w:val="20"/>
              </w:rPr>
              <w:t>ates</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3,523,609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3,523,609 </w:t>
            </w:r>
          </w:p>
        </w:tc>
      </w:tr>
      <w:tr w:rsidR="00CB683F" w:rsidTr="0050214B">
        <w:tc>
          <w:tcPr>
            <w:tcW w:w="2972" w:type="dxa"/>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E</w:t>
            </w:r>
            <w:r>
              <w:rPr>
                <w:rFonts w:ascii="Arial" w:hAnsi="Arial" w:cs="Arial"/>
                <w:sz w:val="20"/>
                <w:szCs w:val="20"/>
              </w:rPr>
              <w:t>xceptional site factor</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95,123 </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Pr="00603F83" w:rsidR="00CB683F" w:rsidP="001361FB" w:rsidRDefault="00CB683F">
            <w:pPr>
              <w:jc w:val="right"/>
              <w:rPr>
                <w:rFonts w:ascii="Arial" w:hAnsi="Arial" w:cs="Arial"/>
                <w:color w:val="000000"/>
                <w:sz w:val="20"/>
                <w:szCs w:val="20"/>
              </w:rPr>
            </w:pPr>
            <w:r w:rsidRPr="00603F83">
              <w:rPr>
                <w:rFonts w:ascii="Arial" w:hAnsi="Arial" w:cs="Arial"/>
                <w:color w:val="000000"/>
                <w:sz w:val="20"/>
                <w:szCs w:val="20"/>
              </w:rPr>
              <w:t xml:space="preserve">95,123 </w:t>
            </w:r>
          </w:p>
        </w:tc>
      </w:tr>
      <w:tr w:rsidR="00CB683F" w:rsidTr="0050214B">
        <w:tc>
          <w:tcPr>
            <w:tcW w:w="2972" w:type="dxa"/>
          </w:tcPr>
          <w:p w:rsidRPr="00E71A0A" w:rsidR="00CB683F" w:rsidP="001361FB" w:rsidRDefault="00CB683F">
            <w:pPr>
              <w:rPr>
                <w:rFonts w:ascii="Arial" w:hAnsi="Arial" w:cs="Arial"/>
                <w:sz w:val="20"/>
                <w:szCs w:val="20"/>
              </w:rPr>
            </w:pPr>
            <w:r>
              <w:rPr>
                <w:rFonts w:ascii="Arial" w:hAnsi="Arial" w:cs="Arial"/>
                <w:sz w:val="20"/>
                <w:szCs w:val="20"/>
              </w:rPr>
              <w:t>MFG Protection</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00CB683F" w:rsidP="005903B3" w:rsidRDefault="004172F5">
            <w:pPr>
              <w:jc w:val="right"/>
              <w:rPr>
                <w:rFonts w:ascii="Arial" w:hAnsi="Arial" w:cs="Arial"/>
                <w:color w:val="000000"/>
                <w:sz w:val="20"/>
                <w:szCs w:val="20"/>
              </w:rPr>
            </w:pPr>
            <w:r>
              <w:rPr>
                <w:rFonts w:ascii="Arial" w:hAnsi="Arial" w:cs="Arial"/>
                <w:color w:val="000000"/>
                <w:sz w:val="20"/>
                <w:szCs w:val="20"/>
              </w:rPr>
              <w:t>1,</w:t>
            </w:r>
            <w:r w:rsidR="00A73FF6">
              <w:rPr>
                <w:rFonts w:ascii="Arial" w:hAnsi="Arial" w:cs="Arial"/>
                <w:color w:val="000000"/>
                <w:sz w:val="20"/>
                <w:szCs w:val="20"/>
              </w:rPr>
              <w:t>4</w:t>
            </w:r>
            <w:r>
              <w:rPr>
                <w:rFonts w:ascii="Arial" w:hAnsi="Arial" w:cs="Arial"/>
                <w:color w:val="000000"/>
                <w:sz w:val="20"/>
                <w:szCs w:val="20"/>
              </w:rPr>
              <w:t>11,</w:t>
            </w:r>
            <w:r w:rsidR="005903B3">
              <w:rPr>
                <w:rFonts w:ascii="Arial" w:hAnsi="Arial" w:cs="Arial"/>
                <w:color w:val="000000"/>
                <w:sz w:val="20"/>
                <w:szCs w:val="20"/>
              </w:rPr>
              <w:t>368</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Pr="00603F83" w:rsidR="00CB683F" w:rsidP="001361FB" w:rsidRDefault="00CB683F">
            <w:pPr>
              <w:jc w:val="right"/>
              <w:rPr>
                <w:rFonts w:ascii="Arial" w:hAnsi="Arial" w:cs="Arial"/>
                <w:bCs/>
                <w:color w:val="000000"/>
                <w:sz w:val="20"/>
                <w:szCs w:val="20"/>
              </w:rPr>
            </w:pPr>
            <w:r w:rsidRPr="00603F83">
              <w:rPr>
                <w:rFonts w:ascii="Arial" w:hAnsi="Arial" w:cs="Arial"/>
                <w:bCs/>
                <w:color w:val="000000"/>
                <w:sz w:val="20"/>
                <w:szCs w:val="20"/>
              </w:rPr>
              <w:t>975,559</w:t>
            </w:r>
          </w:p>
        </w:tc>
      </w:tr>
      <w:tr w:rsidR="00CB683F" w:rsidTr="0050214B">
        <w:tc>
          <w:tcPr>
            <w:tcW w:w="2972" w:type="dxa"/>
          </w:tcPr>
          <w:p w:rsidRPr="00E71A0A" w:rsidR="00CB683F" w:rsidP="001361FB" w:rsidRDefault="00CB683F">
            <w:pPr>
              <w:rPr>
                <w:rFonts w:ascii="Arial" w:hAnsi="Arial" w:cs="Arial"/>
                <w:sz w:val="20"/>
                <w:szCs w:val="20"/>
              </w:rPr>
            </w:pPr>
            <w:r>
              <w:rPr>
                <w:rFonts w:ascii="Arial" w:hAnsi="Arial" w:cs="Arial"/>
                <w:sz w:val="20"/>
                <w:szCs w:val="20"/>
              </w:rPr>
              <w:t>Capped gains</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00CB683F" w:rsidP="004172F5" w:rsidRDefault="00CB683F">
            <w:pPr>
              <w:jc w:val="right"/>
              <w:rPr>
                <w:rFonts w:ascii="Arial" w:hAnsi="Arial" w:cs="Arial"/>
                <w:color w:val="000000"/>
                <w:sz w:val="20"/>
                <w:szCs w:val="20"/>
              </w:rPr>
            </w:pPr>
            <w:r>
              <w:rPr>
                <w:rFonts w:ascii="Arial" w:hAnsi="Arial" w:cs="Arial"/>
                <w:color w:val="FF0000"/>
                <w:sz w:val="20"/>
                <w:szCs w:val="20"/>
              </w:rPr>
              <w:t>-</w:t>
            </w:r>
            <w:r w:rsidR="004172F5">
              <w:rPr>
                <w:rFonts w:ascii="Arial" w:hAnsi="Arial" w:cs="Arial"/>
                <w:color w:val="FF0000"/>
                <w:sz w:val="20"/>
                <w:szCs w:val="20"/>
              </w:rPr>
              <w:t>2,089,148</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Pr="00603F83" w:rsidR="00CB683F" w:rsidP="001361FB" w:rsidRDefault="00CB683F">
            <w:pPr>
              <w:jc w:val="right"/>
              <w:rPr>
                <w:rFonts w:ascii="Arial" w:hAnsi="Arial" w:cs="Arial"/>
                <w:bCs/>
                <w:color w:val="000000"/>
                <w:sz w:val="20"/>
                <w:szCs w:val="20"/>
              </w:rPr>
            </w:pPr>
            <w:r w:rsidRPr="00603F83">
              <w:rPr>
                <w:rFonts w:ascii="Arial" w:hAnsi="Arial" w:cs="Arial"/>
                <w:bCs/>
                <w:color w:val="000000"/>
                <w:sz w:val="20"/>
                <w:szCs w:val="20"/>
              </w:rPr>
              <w:t>0</w:t>
            </w:r>
          </w:p>
        </w:tc>
      </w:tr>
      <w:tr w:rsidR="00CB683F" w:rsidTr="0050214B">
        <w:tc>
          <w:tcPr>
            <w:tcW w:w="2972" w:type="dxa"/>
          </w:tcPr>
          <w:p w:rsidRPr="00E71A0A" w:rsidR="00CB683F" w:rsidP="00A73FF6" w:rsidRDefault="00CB683F">
            <w:pPr>
              <w:rPr>
                <w:rFonts w:ascii="Arial" w:hAnsi="Arial" w:cs="Arial"/>
                <w:sz w:val="20"/>
                <w:szCs w:val="20"/>
              </w:rPr>
            </w:pPr>
            <w:r>
              <w:rPr>
                <w:rFonts w:ascii="Arial" w:hAnsi="Arial" w:cs="Arial"/>
                <w:sz w:val="20"/>
                <w:szCs w:val="20"/>
              </w:rPr>
              <w:t>Minimum per pupil (£3,3</w:t>
            </w:r>
            <w:r w:rsidR="00A73FF6">
              <w:rPr>
                <w:rFonts w:ascii="Arial" w:hAnsi="Arial" w:cs="Arial"/>
                <w:sz w:val="20"/>
                <w:szCs w:val="20"/>
              </w:rPr>
              <w:t>0</w:t>
            </w:r>
            <w:r>
              <w:rPr>
                <w:rFonts w:ascii="Arial" w:hAnsi="Arial" w:cs="Arial"/>
                <w:sz w:val="20"/>
                <w:szCs w:val="20"/>
              </w:rPr>
              <w:t>0)</w:t>
            </w:r>
          </w:p>
        </w:tc>
        <w:tc>
          <w:tcPr>
            <w:tcW w:w="1133"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00CB683F" w:rsidP="00A73FF6" w:rsidRDefault="00A73FF6">
            <w:pPr>
              <w:jc w:val="right"/>
              <w:rPr>
                <w:rFonts w:ascii="Arial" w:hAnsi="Arial" w:cs="Arial"/>
                <w:color w:val="000000"/>
                <w:sz w:val="20"/>
                <w:szCs w:val="20"/>
              </w:rPr>
            </w:pPr>
            <w:r>
              <w:rPr>
                <w:rFonts w:ascii="Arial" w:hAnsi="Arial" w:cs="Arial"/>
                <w:color w:val="000000"/>
                <w:sz w:val="20"/>
                <w:szCs w:val="20"/>
              </w:rPr>
              <w:t>532,415</w:t>
            </w:r>
          </w:p>
        </w:tc>
        <w:tc>
          <w:tcPr>
            <w:tcW w:w="236" w:type="dxa"/>
            <w:shd w:val="clear" w:color="auto" w:fill="2E74B5" w:themeFill="accent1" w:themeFillShade="BF"/>
          </w:tcPr>
          <w:p w:rsidRPr="00E71A0A" w:rsidR="00CB683F" w:rsidP="001361FB" w:rsidRDefault="00CB683F">
            <w:pPr>
              <w:rPr>
                <w:rFonts w:ascii="Arial" w:hAnsi="Arial" w:cs="Arial"/>
                <w:sz w:val="20"/>
                <w:szCs w:val="20"/>
              </w:rPr>
            </w:pPr>
          </w:p>
        </w:tc>
        <w:tc>
          <w:tcPr>
            <w:tcW w:w="1118"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vAlign w:val="bottom"/>
          </w:tcPr>
          <w:p w:rsidRPr="00603F83" w:rsidR="00CB683F" w:rsidP="001361FB" w:rsidRDefault="00CB683F">
            <w:pPr>
              <w:jc w:val="right"/>
              <w:rPr>
                <w:rFonts w:ascii="Arial" w:hAnsi="Arial" w:cs="Arial"/>
                <w:bCs/>
                <w:color w:val="000000"/>
                <w:sz w:val="20"/>
                <w:szCs w:val="20"/>
              </w:rPr>
            </w:pPr>
            <w:r w:rsidRPr="00603F83">
              <w:rPr>
                <w:rFonts w:ascii="Arial" w:hAnsi="Arial" w:cs="Arial"/>
                <w:bCs/>
                <w:color w:val="000000"/>
                <w:sz w:val="20"/>
                <w:szCs w:val="20"/>
              </w:rPr>
              <w:t>0</w:t>
            </w:r>
          </w:p>
        </w:tc>
      </w:tr>
      <w:tr w:rsidR="00CB683F" w:rsidTr="0050214B">
        <w:tc>
          <w:tcPr>
            <w:tcW w:w="2972" w:type="dxa"/>
          </w:tcPr>
          <w:p w:rsidRPr="00603F83" w:rsidR="00CB683F" w:rsidP="001361FB" w:rsidRDefault="00CB683F">
            <w:pPr>
              <w:rPr>
                <w:rFonts w:ascii="Arial" w:hAnsi="Arial" w:cs="Arial"/>
                <w:b/>
                <w:sz w:val="20"/>
                <w:szCs w:val="20"/>
              </w:rPr>
            </w:pPr>
            <w:r w:rsidRPr="00603F83">
              <w:rPr>
                <w:rFonts w:ascii="Arial" w:hAnsi="Arial" w:cs="Arial"/>
                <w:b/>
                <w:sz w:val="20"/>
                <w:szCs w:val="20"/>
              </w:rPr>
              <w:t>Total</w:t>
            </w:r>
          </w:p>
        </w:tc>
        <w:tc>
          <w:tcPr>
            <w:tcW w:w="1133" w:type="dxa"/>
            <w:shd w:val="clear" w:color="auto" w:fill="2E74B5" w:themeFill="accent1" w:themeFillShade="BF"/>
          </w:tcPr>
          <w:p w:rsidRPr="00603F83" w:rsidR="00CB683F" w:rsidP="001361FB" w:rsidRDefault="00CB683F">
            <w:pPr>
              <w:rPr>
                <w:rFonts w:ascii="Arial" w:hAnsi="Arial" w:cs="Arial"/>
                <w:b/>
                <w:sz w:val="20"/>
                <w:szCs w:val="20"/>
              </w:rPr>
            </w:pPr>
          </w:p>
        </w:tc>
        <w:tc>
          <w:tcPr>
            <w:tcW w:w="1287" w:type="dxa"/>
            <w:shd w:val="clear" w:color="auto" w:fill="2E74B5" w:themeFill="accent1" w:themeFillShade="BF"/>
          </w:tcPr>
          <w:p w:rsidRPr="00603F83" w:rsidR="00CB683F" w:rsidP="001361FB" w:rsidRDefault="00CB683F">
            <w:pPr>
              <w:rPr>
                <w:rFonts w:ascii="Arial" w:hAnsi="Arial" w:cs="Arial"/>
                <w:b/>
                <w:sz w:val="20"/>
                <w:szCs w:val="20"/>
              </w:rPr>
            </w:pPr>
          </w:p>
        </w:tc>
        <w:tc>
          <w:tcPr>
            <w:tcW w:w="1329" w:type="dxa"/>
          </w:tcPr>
          <w:p w:rsidRPr="00603F83" w:rsidR="00CB683F" w:rsidP="005903B3" w:rsidRDefault="00EB6AA9">
            <w:pPr>
              <w:jc w:val="right"/>
              <w:rPr>
                <w:rFonts w:ascii="Arial" w:hAnsi="Arial" w:cs="Arial"/>
                <w:b/>
                <w:bCs/>
                <w:color w:val="000000"/>
                <w:sz w:val="20"/>
                <w:szCs w:val="20"/>
              </w:rPr>
            </w:pPr>
            <w:r>
              <w:rPr>
                <w:rFonts w:ascii="Arial" w:hAnsi="Arial" w:cs="Arial"/>
                <w:b/>
                <w:bCs/>
                <w:color w:val="000000"/>
                <w:sz w:val="20"/>
                <w:szCs w:val="20"/>
              </w:rPr>
              <w:t>232,</w:t>
            </w:r>
            <w:r w:rsidR="00A73FF6">
              <w:rPr>
                <w:rFonts w:ascii="Arial" w:hAnsi="Arial" w:cs="Arial"/>
                <w:b/>
                <w:bCs/>
                <w:color w:val="000000"/>
                <w:sz w:val="20"/>
                <w:szCs w:val="20"/>
              </w:rPr>
              <w:t>357</w:t>
            </w:r>
            <w:r>
              <w:rPr>
                <w:rFonts w:ascii="Arial" w:hAnsi="Arial" w:cs="Arial"/>
                <w:b/>
                <w:bCs/>
                <w:color w:val="000000"/>
                <w:sz w:val="20"/>
                <w:szCs w:val="20"/>
              </w:rPr>
              <w:t>,</w:t>
            </w:r>
            <w:r w:rsidR="005903B3">
              <w:rPr>
                <w:rFonts w:ascii="Arial" w:hAnsi="Arial" w:cs="Arial"/>
                <w:b/>
                <w:bCs/>
                <w:color w:val="000000"/>
                <w:sz w:val="20"/>
                <w:szCs w:val="20"/>
              </w:rPr>
              <w:t>251</w:t>
            </w:r>
          </w:p>
        </w:tc>
        <w:tc>
          <w:tcPr>
            <w:tcW w:w="236" w:type="dxa"/>
            <w:shd w:val="clear" w:color="auto" w:fill="2E74B5" w:themeFill="accent1" w:themeFillShade="BF"/>
          </w:tcPr>
          <w:p w:rsidRPr="00603F83" w:rsidR="00CB683F" w:rsidP="001361FB" w:rsidRDefault="00CB683F">
            <w:pPr>
              <w:rPr>
                <w:rFonts w:ascii="Arial" w:hAnsi="Arial" w:cs="Arial"/>
                <w:b/>
                <w:sz w:val="20"/>
                <w:szCs w:val="20"/>
              </w:rPr>
            </w:pPr>
          </w:p>
        </w:tc>
        <w:tc>
          <w:tcPr>
            <w:tcW w:w="1118" w:type="dxa"/>
            <w:shd w:val="clear" w:color="auto" w:fill="2E74B5" w:themeFill="accent1" w:themeFillShade="BF"/>
          </w:tcPr>
          <w:p w:rsidRPr="00603F83" w:rsidR="00CB683F" w:rsidP="001361FB" w:rsidRDefault="00CB683F">
            <w:pPr>
              <w:rPr>
                <w:rFonts w:ascii="Arial" w:hAnsi="Arial" w:cs="Arial"/>
                <w:b/>
                <w:sz w:val="20"/>
                <w:szCs w:val="20"/>
              </w:rPr>
            </w:pPr>
          </w:p>
        </w:tc>
        <w:tc>
          <w:tcPr>
            <w:tcW w:w="1276" w:type="dxa"/>
            <w:shd w:val="clear" w:color="auto" w:fill="2E74B5" w:themeFill="accent1" w:themeFillShade="BF"/>
          </w:tcPr>
          <w:p w:rsidRPr="00603F83" w:rsidR="00CB683F" w:rsidP="001361FB" w:rsidRDefault="00CB683F">
            <w:pPr>
              <w:rPr>
                <w:rFonts w:ascii="Arial" w:hAnsi="Arial" w:cs="Arial"/>
                <w:b/>
                <w:sz w:val="20"/>
                <w:szCs w:val="20"/>
              </w:rPr>
            </w:pPr>
          </w:p>
        </w:tc>
        <w:tc>
          <w:tcPr>
            <w:tcW w:w="1329" w:type="dxa"/>
          </w:tcPr>
          <w:p w:rsidRPr="00603F83" w:rsidR="00CB683F" w:rsidP="001361FB" w:rsidRDefault="00CB683F">
            <w:pPr>
              <w:rPr>
                <w:rFonts w:ascii="Arial" w:hAnsi="Arial" w:cs="Arial"/>
                <w:b/>
                <w:sz w:val="20"/>
                <w:szCs w:val="20"/>
              </w:rPr>
            </w:pPr>
            <w:r w:rsidRPr="00603F83">
              <w:rPr>
                <w:rFonts w:ascii="Arial" w:hAnsi="Arial" w:cs="Arial"/>
                <w:b/>
                <w:sz w:val="20"/>
                <w:szCs w:val="20"/>
              </w:rPr>
              <w:t>227,739,367</w:t>
            </w:r>
          </w:p>
        </w:tc>
      </w:tr>
      <w:tr w:rsidR="00CB683F" w:rsidTr="0050214B">
        <w:tc>
          <w:tcPr>
            <w:tcW w:w="2972" w:type="dxa"/>
            <w:shd w:val="clear" w:color="auto" w:fill="2E74B5" w:themeFill="accent1" w:themeFillShade="BF"/>
          </w:tcPr>
          <w:p w:rsidRPr="00603F83" w:rsidR="00CB683F" w:rsidP="001361FB" w:rsidRDefault="00CB683F">
            <w:pPr>
              <w:rPr>
                <w:rFonts w:ascii="Arial" w:hAnsi="Arial" w:cs="Arial"/>
                <w:b/>
                <w:sz w:val="20"/>
                <w:szCs w:val="20"/>
              </w:rPr>
            </w:pPr>
          </w:p>
        </w:tc>
        <w:tc>
          <w:tcPr>
            <w:tcW w:w="1133" w:type="dxa"/>
            <w:shd w:val="clear" w:color="auto" w:fill="2E74B5" w:themeFill="accent1" w:themeFillShade="BF"/>
          </w:tcPr>
          <w:p w:rsidRPr="00603F83" w:rsidR="00CB683F" w:rsidP="001361FB" w:rsidRDefault="00CB683F">
            <w:pPr>
              <w:rPr>
                <w:rFonts w:ascii="Arial" w:hAnsi="Arial" w:cs="Arial"/>
                <w:b/>
                <w:sz w:val="20"/>
                <w:szCs w:val="20"/>
              </w:rPr>
            </w:pPr>
          </w:p>
        </w:tc>
        <w:tc>
          <w:tcPr>
            <w:tcW w:w="1287" w:type="dxa"/>
            <w:shd w:val="clear" w:color="auto" w:fill="2E74B5" w:themeFill="accent1" w:themeFillShade="BF"/>
          </w:tcPr>
          <w:p w:rsidRPr="00603F83" w:rsidR="00CB683F" w:rsidP="001361FB" w:rsidRDefault="00CB683F">
            <w:pPr>
              <w:rPr>
                <w:rFonts w:ascii="Arial" w:hAnsi="Arial" w:cs="Arial"/>
                <w:b/>
                <w:sz w:val="20"/>
                <w:szCs w:val="20"/>
              </w:rPr>
            </w:pPr>
          </w:p>
        </w:tc>
        <w:tc>
          <w:tcPr>
            <w:tcW w:w="1329" w:type="dxa"/>
            <w:shd w:val="clear" w:color="auto" w:fill="2E74B5" w:themeFill="accent1" w:themeFillShade="BF"/>
          </w:tcPr>
          <w:p w:rsidRPr="00603F83" w:rsidR="00CB683F" w:rsidP="001361FB" w:rsidRDefault="00CB683F">
            <w:pPr>
              <w:jc w:val="right"/>
              <w:rPr>
                <w:rFonts w:ascii="Arial" w:hAnsi="Arial" w:cs="Arial"/>
                <w:b/>
                <w:bCs/>
                <w:color w:val="000000"/>
                <w:sz w:val="20"/>
                <w:szCs w:val="20"/>
              </w:rPr>
            </w:pPr>
          </w:p>
        </w:tc>
        <w:tc>
          <w:tcPr>
            <w:tcW w:w="236" w:type="dxa"/>
            <w:shd w:val="clear" w:color="auto" w:fill="2E74B5" w:themeFill="accent1" w:themeFillShade="BF"/>
          </w:tcPr>
          <w:p w:rsidRPr="00603F83" w:rsidR="00CB683F" w:rsidP="001361FB" w:rsidRDefault="00CB683F">
            <w:pPr>
              <w:rPr>
                <w:rFonts w:ascii="Arial" w:hAnsi="Arial" w:cs="Arial"/>
                <w:b/>
                <w:sz w:val="20"/>
                <w:szCs w:val="20"/>
              </w:rPr>
            </w:pPr>
          </w:p>
        </w:tc>
        <w:tc>
          <w:tcPr>
            <w:tcW w:w="1118" w:type="dxa"/>
            <w:shd w:val="clear" w:color="auto" w:fill="2E74B5" w:themeFill="accent1" w:themeFillShade="BF"/>
          </w:tcPr>
          <w:p w:rsidRPr="00603F83" w:rsidR="00CB683F" w:rsidP="001361FB" w:rsidRDefault="00CB683F">
            <w:pPr>
              <w:rPr>
                <w:rFonts w:ascii="Arial" w:hAnsi="Arial" w:cs="Arial"/>
                <w:b/>
                <w:sz w:val="20"/>
                <w:szCs w:val="20"/>
              </w:rPr>
            </w:pPr>
          </w:p>
        </w:tc>
        <w:tc>
          <w:tcPr>
            <w:tcW w:w="1276" w:type="dxa"/>
            <w:shd w:val="clear" w:color="auto" w:fill="2E74B5" w:themeFill="accent1" w:themeFillShade="BF"/>
          </w:tcPr>
          <w:p w:rsidRPr="00603F83" w:rsidR="00CB683F" w:rsidP="001361FB" w:rsidRDefault="00CB683F">
            <w:pPr>
              <w:rPr>
                <w:rFonts w:ascii="Arial" w:hAnsi="Arial" w:cs="Arial"/>
                <w:b/>
                <w:sz w:val="20"/>
                <w:szCs w:val="20"/>
              </w:rPr>
            </w:pPr>
          </w:p>
        </w:tc>
        <w:tc>
          <w:tcPr>
            <w:tcW w:w="1329" w:type="dxa"/>
            <w:shd w:val="clear" w:color="auto" w:fill="2E74B5" w:themeFill="accent1" w:themeFillShade="BF"/>
          </w:tcPr>
          <w:p w:rsidRPr="00603F83" w:rsidR="00CB683F" w:rsidP="001361FB" w:rsidRDefault="00CB683F">
            <w:pPr>
              <w:rPr>
                <w:rFonts w:ascii="Arial" w:hAnsi="Arial" w:cs="Arial"/>
                <w:b/>
                <w:sz w:val="20"/>
                <w:szCs w:val="20"/>
              </w:rPr>
            </w:pPr>
          </w:p>
        </w:tc>
      </w:tr>
      <w:tr w:rsidR="004172F5" w:rsidTr="0050214B">
        <w:tc>
          <w:tcPr>
            <w:tcW w:w="2972" w:type="dxa"/>
            <w:shd w:val="clear" w:color="auto" w:fill="auto"/>
          </w:tcPr>
          <w:p w:rsidRPr="008D0714" w:rsidR="004172F5" w:rsidP="004172F5" w:rsidRDefault="004172F5">
            <w:pPr>
              <w:rPr>
                <w:rFonts w:ascii="Arial" w:hAnsi="Arial" w:cs="Arial"/>
                <w:sz w:val="20"/>
                <w:szCs w:val="20"/>
              </w:rPr>
            </w:pPr>
          </w:p>
        </w:tc>
        <w:tc>
          <w:tcPr>
            <w:tcW w:w="3749" w:type="dxa"/>
            <w:gridSpan w:val="3"/>
            <w:shd w:val="clear" w:color="auto" w:fill="auto"/>
          </w:tcPr>
          <w:p w:rsidRPr="008D0714" w:rsidR="004172F5" w:rsidP="00A73FF6" w:rsidRDefault="004172F5">
            <w:pPr>
              <w:jc w:val="center"/>
              <w:rPr>
                <w:rFonts w:ascii="Arial" w:hAnsi="Arial" w:cs="Arial"/>
                <w:b/>
                <w:sz w:val="20"/>
                <w:szCs w:val="20"/>
              </w:rPr>
            </w:pPr>
            <w:r w:rsidRPr="008D0714">
              <w:rPr>
                <w:rFonts w:ascii="Arial" w:hAnsi="Arial" w:cs="Arial"/>
                <w:b/>
                <w:sz w:val="20"/>
                <w:szCs w:val="20"/>
              </w:rPr>
              <w:t xml:space="preserve">Proposed </w:t>
            </w:r>
            <w:r>
              <w:rPr>
                <w:rFonts w:ascii="Arial" w:hAnsi="Arial" w:cs="Arial"/>
                <w:b/>
                <w:sz w:val="20"/>
                <w:szCs w:val="20"/>
              </w:rPr>
              <w:t xml:space="preserve">DCC </w:t>
            </w:r>
            <w:r w:rsidRPr="008D0714">
              <w:rPr>
                <w:rFonts w:ascii="Arial" w:hAnsi="Arial" w:cs="Arial"/>
                <w:b/>
                <w:sz w:val="20"/>
                <w:szCs w:val="20"/>
              </w:rPr>
              <w:t>NFF</w:t>
            </w:r>
            <w:r w:rsidR="00A73FF6">
              <w:rPr>
                <w:rFonts w:ascii="Arial" w:hAnsi="Arial" w:cs="Arial"/>
                <w:b/>
                <w:sz w:val="20"/>
                <w:szCs w:val="20"/>
              </w:rPr>
              <w:t>-</w:t>
            </w:r>
            <w:r w:rsidRPr="008D0714">
              <w:rPr>
                <w:rFonts w:ascii="Arial" w:hAnsi="Arial" w:cs="Arial"/>
                <w:b/>
                <w:sz w:val="20"/>
                <w:szCs w:val="20"/>
              </w:rPr>
              <w:t>based</w:t>
            </w:r>
            <w:r>
              <w:rPr>
                <w:rFonts w:ascii="Arial" w:hAnsi="Arial" w:cs="Arial"/>
                <w:b/>
                <w:sz w:val="20"/>
                <w:szCs w:val="20"/>
              </w:rPr>
              <w:t xml:space="preserve"> formula</w:t>
            </w:r>
          </w:p>
        </w:tc>
        <w:tc>
          <w:tcPr>
            <w:tcW w:w="236" w:type="dxa"/>
            <w:shd w:val="clear" w:color="auto" w:fill="2E74B5" w:themeFill="accent1" w:themeFillShade="BF"/>
          </w:tcPr>
          <w:p w:rsidRPr="008D0714" w:rsidR="004172F5" w:rsidP="004172F5" w:rsidRDefault="004172F5">
            <w:pPr>
              <w:rPr>
                <w:rFonts w:ascii="Arial" w:hAnsi="Arial" w:cs="Arial"/>
                <w:b/>
                <w:sz w:val="20"/>
                <w:szCs w:val="20"/>
              </w:rPr>
            </w:pPr>
          </w:p>
        </w:tc>
        <w:tc>
          <w:tcPr>
            <w:tcW w:w="3723" w:type="dxa"/>
            <w:gridSpan w:val="3"/>
            <w:shd w:val="clear" w:color="auto" w:fill="auto"/>
          </w:tcPr>
          <w:p w:rsidRPr="008D0714" w:rsidR="004172F5" w:rsidP="004172F5" w:rsidRDefault="004172F5">
            <w:pPr>
              <w:jc w:val="center"/>
              <w:rPr>
                <w:rFonts w:ascii="Arial" w:hAnsi="Arial" w:cs="Arial"/>
                <w:b/>
                <w:sz w:val="20"/>
                <w:szCs w:val="20"/>
              </w:rPr>
            </w:pPr>
            <w:r w:rsidRPr="008D0714">
              <w:rPr>
                <w:rFonts w:ascii="Arial" w:hAnsi="Arial" w:cs="Arial"/>
                <w:b/>
                <w:sz w:val="20"/>
                <w:szCs w:val="20"/>
              </w:rPr>
              <w:t>Current Derbyshire formula</w:t>
            </w:r>
          </w:p>
        </w:tc>
      </w:tr>
      <w:tr w:rsidR="00CB683F" w:rsidTr="0050214B">
        <w:tc>
          <w:tcPr>
            <w:tcW w:w="2972" w:type="dxa"/>
            <w:shd w:val="clear" w:color="auto" w:fill="auto"/>
          </w:tcPr>
          <w:p w:rsidRPr="00603F83" w:rsidR="00CB683F" w:rsidP="001361FB" w:rsidRDefault="00CB683F">
            <w:pPr>
              <w:rPr>
                <w:rFonts w:ascii="Arial" w:hAnsi="Arial" w:cs="Arial"/>
                <w:b/>
                <w:sz w:val="20"/>
                <w:szCs w:val="20"/>
              </w:rPr>
            </w:pPr>
            <w:r>
              <w:rPr>
                <w:rFonts w:ascii="Arial" w:hAnsi="Arial" w:cs="Arial"/>
                <w:b/>
                <w:sz w:val="20"/>
                <w:szCs w:val="20"/>
              </w:rPr>
              <w:t>SECONDARY</w:t>
            </w:r>
          </w:p>
        </w:tc>
        <w:tc>
          <w:tcPr>
            <w:tcW w:w="1133"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Count</w:t>
            </w:r>
          </w:p>
        </w:tc>
        <w:tc>
          <w:tcPr>
            <w:tcW w:w="1287"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Multiplier</w:t>
            </w:r>
          </w:p>
        </w:tc>
        <w:tc>
          <w:tcPr>
            <w:tcW w:w="1329"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Total</w:t>
            </w:r>
          </w:p>
        </w:tc>
        <w:tc>
          <w:tcPr>
            <w:tcW w:w="236" w:type="dxa"/>
            <w:shd w:val="clear" w:color="auto" w:fill="2E74B5" w:themeFill="accent1" w:themeFillShade="BF"/>
          </w:tcPr>
          <w:p w:rsidRPr="008D0714" w:rsidR="00CB683F" w:rsidP="001361FB" w:rsidRDefault="00CB683F">
            <w:pPr>
              <w:rPr>
                <w:rFonts w:ascii="Arial" w:hAnsi="Arial" w:cs="Arial"/>
                <w:b/>
                <w:sz w:val="20"/>
                <w:szCs w:val="20"/>
              </w:rPr>
            </w:pPr>
          </w:p>
        </w:tc>
        <w:tc>
          <w:tcPr>
            <w:tcW w:w="1118"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Count</w:t>
            </w:r>
          </w:p>
        </w:tc>
        <w:tc>
          <w:tcPr>
            <w:tcW w:w="1276"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Multiplier</w:t>
            </w:r>
          </w:p>
        </w:tc>
        <w:tc>
          <w:tcPr>
            <w:tcW w:w="1329"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Total</w:t>
            </w:r>
          </w:p>
        </w:tc>
      </w:tr>
      <w:tr w:rsidR="00CB683F" w:rsidTr="0050214B">
        <w:tc>
          <w:tcPr>
            <w:tcW w:w="2972" w:type="dxa"/>
            <w:shd w:val="clear" w:color="auto" w:fill="auto"/>
          </w:tcPr>
          <w:p w:rsidRPr="00603F83" w:rsidR="00CB683F" w:rsidP="001361FB" w:rsidRDefault="00CB683F">
            <w:pPr>
              <w:rPr>
                <w:rFonts w:ascii="Arial" w:hAnsi="Arial" w:cs="Arial"/>
                <w:b/>
                <w:sz w:val="20"/>
                <w:szCs w:val="20"/>
              </w:rPr>
            </w:pPr>
          </w:p>
        </w:tc>
        <w:tc>
          <w:tcPr>
            <w:tcW w:w="1133" w:type="dxa"/>
            <w:shd w:val="clear" w:color="auto" w:fill="auto"/>
          </w:tcPr>
          <w:p w:rsidRPr="008D0714" w:rsidR="00CB683F" w:rsidP="001361FB" w:rsidRDefault="00CB683F">
            <w:pPr>
              <w:jc w:val="right"/>
              <w:rPr>
                <w:rFonts w:ascii="Arial" w:hAnsi="Arial" w:cs="Arial"/>
                <w:b/>
                <w:sz w:val="20"/>
                <w:szCs w:val="20"/>
              </w:rPr>
            </w:pPr>
          </w:p>
        </w:tc>
        <w:tc>
          <w:tcPr>
            <w:tcW w:w="1287"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w:t>
            </w:r>
          </w:p>
        </w:tc>
        <w:tc>
          <w:tcPr>
            <w:tcW w:w="1329"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w:t>
            </w:r>
          </w:p>
        </w:tc>
        <w:tc>
          <w:tcPr>
            <w:tcW w:w="236" w:type="dxa"/>
            <w:shd w:val="clear" w:color="auto" w:fill="2E74B5" w:themeFill="accent1" w:themeFillShade="BF"/>
          </w:tcPr>
          <w:p w:rsidRPr="008D0714" w:rsidR="00CB683F" w:rsidP="001361FB" w:rsidRDefault="00CB683F">
            <w:pPr>
              <w:rPr>
                <w:rFonts w:ascii="Arial" w:hAnsi="Arial" w:cs="Arial"/>
                <w:b/>
                <w:sz w:val="20"/>
                <w:szCs w:val="20"/>
              </w:rPr>
            </w:pPr>
          </w:p>
        </w:tc>
        <w:tc>
          <w:tcPr>
            <w:tcW w:w="1118" w:type="dxa"/>
            <w:shd w:val="clear" w:color="auto" w:fill="auto"/>
          </w:tcPr>
          <w:p w:rsidRPr="008D0714" w:rsidR="00CB683F" w:rsidP="001361FB" w:rsidRDefault="00CB683F">
            <w:pPr>
              <w:jc w:val="right"/>
              <w:rPr>
                <w:rFonts w:ascii="Arial" w:hAnsi="Arial" w:cs="Arial"/>
                <w:b/>
                <w:sz w:val="20"/>
                <w:szCs w:val="20"/>
              </w:rPr>
            </w:pPr>
          </w:p>
        </w:tc>
        <w:tc>
          <w:tcPr>
            <w:tcW w:w="1276"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w:t>
            </w:r>
          </w:p>
        </w:tc>
        <w:tc>
          <w:tcPr>
            <w:tcW w:w="1329" w:type="dxa"/>
            <w:shd w:val="clear" w:color="auto" w:fill="auto"/>
          </w:tcPr>
          <w:p w:rsidRPr="008D0714" w:rsidR="00CB683F" w:rsidP="001361FB" w:rsidRDefault="00CB683F">
            <w:pPr>
              <w:jc w:val="right"/>
              <w:rPr>
                <w:rFonts w:ascii="Arial" w:hAnsi="Arial" w:cs="Arial"/>
                <w:b/>
                <w:sz w:val="20"/>
                <w:szCs w:val="20"/>
              </w:rPr>
            </w:pPr>
            <w:r w:rsidRPr="008D0714">
              <w:rPr>
                <w:rFonts w:ascii="Arial" w:hAnsi="Arial" w:cs="Arial"/>
                <w:b/>
                <w:sz w:val="20"/>
                <w:szCs w:val="20"/>
              </w:rPr>
              <w:t>£</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Pr>
                <w:rFonts w:ascii="Arial" w:hAnsi="Arial" w:cs="Arial"/>
                <w:sz w:val="20"/>
                <w:szCs w:val="20"/>
              </w:rPr>
              <w:t xml:space="preserve">KS3 </w:t>
            </w:r>
            <w:r w:rsidRPr="00E71A0A">
              <w:rPr>
                <w:rFonts w:ascii="Arial" w:hAnsi="Arial" w:cs="Arial"/>
                <w:sz w:val="20"/>
                <w:szCs w:val="20"/>
              </w:rPr>
              <w:t>AWPU</w:t>
            </w:r>
            <w:r>
              <w:rPr>
                <w:rFonts w:ascii="Arial" w:hAnsi="Arial" w:cs="Arial"/>
                <w:sz w:val="20"/>
                <w:szCs w:val="20"/>
              </w:rPr>
              <w:t xml:space="preserve"> </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22,730.00 </w:t>
            </w:r>
          </w:p>
        </w:tc>
        <w:tc>
          <w:tcPr>
            <w:tcW w:w="1287" w:type="dxa"/>
            <w:shd w:val="clear" w:color="auto" w:fill="auto"/>
            <w:vAlign w:val="bottom"/>
          </w:tcPr>
          <w:p w:rsidR="00CB683F" w:rsidP="00175725" w:rsidRDefault="00CB683F">
            <w:pPr>
              <w:jc w:val="right"/>
              <w:rPr>
                <w:rFonts w:ascii="Arial" w:hAnsi="Arial" w:cs="Arial"/>
                <w:color w:val="000000"/>
                <w:sz w:val="20"/>
                <w:szCs w:val="20"/>
              </w:rPr>
            </w:pPr>
            <w:r>
              <w:rPr>
                <w:rFonts w:ascii="Arial" w:hAnsi="Arial" w:cs="Arial"/>
                <w:color w:val="000000"/>
                <w:sz w:val="20"/>
                <w:szCs w:val="20"/>
              </w:rPr>
              <w:t>3,86</w:t>
            </w:r>
            <w:r w:rsidR="00175725">
              <w:rPr>
                <w:rFonts w:ascii="Arial" w:hAnsi="Arial" w:cs="Arial"/>
                <w:color w:val="000000"/>
                <w:sz w:val="20"/>
                <w:szCs w:val="20"/>
              </w:rPr>
              <w:t>2</w:t>
            </w:r>
            <w:r>
              <w:rPr>
                <w:rFonts w:ascii="Arial" w:hAnsi="Arial" w:cs="Arial"/>
                <w:color w:val="000000"/>
                <w:sz w:val="20"/>
                <w:szCs w:val="20"/>
              </w:rPr>
              <w:t>.</w:t>
            </w:r>
            <w:r w:rsidR="00175725">
              <w:rPr>
                <w:rFonts w:ascii="Arial" w:hAnsi="Arial" w:cs="Arial"/>
                <w:color w:val="000000"/>
                <w:sz w:val="20"/>
                <w:szCs w:val="20"/>
              </w:rPr>
              <w:t>65</w:t>
            </w:r>
            <w:r>
              <w:rPr>
                <w:rFonts w:ascii="Arial" w:hAnsi="Arial" w:cs="Arial"/>
                <w:color w:val="000000"/>
                <w:sz w:val="20"/>
                <w:szCs w:val="20"/>
              </w:rPr>
              <w:t xml:space="preserve"> </w:t>
            </w:r>
          </w:p>
        </w:tc>
        <w:tc>
          <w:tcPr>
            <w:tcW w:w="1329" w:type="dxa"/>
            <w:shd w:val="clear" w:color="auto" w:fill="auto"/>
            <w:vAlign w:val="bottom"/>
          </w:tcPr>
          <w:p w:rsidR="00CB683F" w:rsidP="00175725" w:rsidRDefault="00CB683F">
            <w:pPr>
              <w:jc w:val="right"/>
              <w:rPr>
                <w:rFonts w:ascii="Arial" w:hAnsi="Arial" w:cs="Arial"/>
                <w:color w:val="000000"/>
                <w:sz w:val="20"/>
                <w:szCs w:val="20"/>
              </w:rPr>
            </w:pPr>
            <w:r>
              <w:rPr>
                <w:rFonts w:ascii="Arial" w:hAnsi="Arial" w:cs="Arial"/>
                <w:color w:val="000000"/>
                <w:sz w:val="20"/>
                <w:szCs w:val="20"/>
              </w:rPr>
              <w:t>87,</w:t>
            </w:r>
            <w:r w:rsidR="00175725">
              <w:rPr>
                <w:rFonts w:ascii="Arial" w:hAnsi="Arial" w:cs="Arial"/>
                <w:color w:val="000000"/>
                <w:sz w:val="20"/>
                <w:szCs w:val="20"/>
              </w:rPr>
              <w:t>798</w:t>
            </w:r>
            <w:r>
              <w:rPr>
                <w:rFonts w:ascii="Arial" w:hAnsi="Arial" w:cs="Arial"/>
                <w:color w:val="000000"/>
                <w:sz w:val="20"/>
                <w:szCs w:val="20"/>
              </w:rPr>
              <w:t>,</w:t>
            </w:r>
            <w:r w:rsidR="00175725">
              <w:rPr>
                <w:rFonts w:ascii="Arial" w:hAnsi="Arial" w:cs="Arial"/>
                <w:color w:val="000000"/>
                <w:sz w:val="20"/>
                <w:szCs w:val="20"/>
              </w:rPr>
              <w:t>035</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22,730.00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3,734.48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84,884,651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Pr>
                <w:rFonts w:ascii="Arial" w:hAnsi="Arial" w:cs="Arial"/>
                <w:sz w:val="20"/>
                <w:szCs w:val="20"/>
              </w:rPr>
              <w:t xml:space="preserve">KS4 </w:t>
            </w:r>
            <w:r w:rsidRPr="00E71A0A">
              <w:rPr>
                <w:rFonts w:ascii="Arial" w:hAnsi="Arial" w:cs="Arial"/>
                <w:sz w:val="20"/>
                <w:szCs w:val="20"/>
              </w:rPr>
              <w:t>AWPU</w:t>
            </w:r>
            <w:r>
              <w:rPr>
                <w:rFonts w:ascii="Arial" w:hAnsi="Arial" w:cs="Arial"/>
                <w:sz w:val="20"/>
                <w:szCs w:val="20"/>
              </w:rPr>
              <w:t xml:space="preserve"> </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14,404.17 </w:t>
            </w:r>
          </w:p>
        </w:tc>
        <w:tc>
          <w:tcPr>
            <w:tcW w:w="1287" w:type="dxa"/>
            <w:shd w:val="clear" w:color="auto" w:fill="auto"/>
            <w:vAlign w:val="bottom"/>
          </w:tcPr>
          <w:p w:rsidR="00CB683F" w:rsidP="00175725" w:rsidRDefault="00CB683F">
            <w:pPr>
              <w:jc w:val="right"/>
              <w:rPr>
                <w:rFonts w:ascii="Arial" w:hAnsi="Arial" w:cs="Arial"/>
                <w:color w:val="000000"/>
                <w:sz w:val="20"/>
                <w:szCs w:val="20"/>
              </w:rPr>
            </w:pPr>
            <w:r>
              <w:rPr>
                <w:rFonts w:ascii="Arial" w:hAnsi="Arial" w:cs="Arial"/>
                <w:color w:val="000000"/>
                <w:sz w:val="20"/>
                <w:szCs w:val="20"/>
              </w:rPr>
              <w:t>4,38</w:t>
            </w:r>
            <w:r w:rsidR="00175725">
              <w:rPr>
                <w:rFonts w:ascii="Arial" w:hAnsi="Arial" w:cs="Arial"/>
                <w:color w:val="000000"/>
                <w:sz w:val="20"/>
                <w:szCs w:val="20"/>
              </w:rPr>
              <w:t>5</w:t>
            </w:r>
            <w:r>
              <w:rPr>
                <w:rFonts w:ascii="Arial" w:hAnsi="Arial" w:cs="Arial"/>
                <w:color w:val="000000"/>
                <w:sz w:val="20"/>
                <w:szCs w:val="20"/>
              </w:rPr>
              <w:t>.</w:t>
            </w:r>
            <w:r w:rsidR="00175725">
              <w:rPr>
                <w:rFonts w:ascii="Arial" w:hAnsi="Arial" w:cs="Arial"/>
                <w:color w:val="000000"/>
                <w:sz w:val="20"/>
                <w:szCs w:val="20"/>
              </w:rPr>
              <w:t>81</w:t>
            </w:r>
            <w:r>
              <w:rPr>
                <w:rFonts w:ascii="Arial" w:hAnsi="Arial" w:cs="Arial"/>
                <w:color w:val="000000"/>
                <w:sz w:val="20"/>
                <w:szCs w:val="20"/>
              </w:rPr>
              <w:t xml:space="preserve"> </w:t>
            </w:r>
          </w:p>
        </w:tc>
        <w:tc>
          <w:tcPr>
            <w:tcW w:w="1329" w:type="dxa"/>
            <w:shd w:val="clear" w:color="auto" w:fill="auto"/>
            <w:vAlign w:val="bottom"/>
          </w:tcPr>
          <w:p w:rsidR="00CB683F" w:rsidP="00175725" w:rsidRDefault="00CB683F">
            <w:pPr>
              <w:jc w:val="right"/>
              <w:rPr>
                <w:rFonts w:ascii="Arial" w:hAnsi="Arial" w:cs="Arial"/>
                <w:color w:val="000000"/>
                <w:sz w:val="20"/>
                <w:szCs w:val="20"/>
              </w:rPr>
            </w:pPr>
            <w:r>
              <w:rPr>
                <w:rFonts w:ascii="Arial" w:hAnsi="Arial" w:cs="Arial"/>
                <w:color w:val="000000"/>
                <w:sz w:val="20"/>
                <w:szCs w:val="20"/>
              </w:rPr>
              <w:t>63,17</w:t>
            </w:r>
            <w:r w:rsidR="00175725">
              <w:rPr>
                <w:rFonts w:ascii="Arial" w:hAnsi="Arial" w:cs="Arial"/>
                <w:color w:val="000000"/>
                <w:sz w:val="20"/>
                <w:szCs w:val="20"/>
              </w:rPr>
              <w:t>3</w:t>
            </w:r>
            <w:r>
              <w:rPr>
                <w:rFonts w:ascii="Arial" w:hAnsi="Arial" w:cs="Arial"/>
                <w:color w:val="000000"/>
                <w:sz w:val="20"/>
                <w:szCs w:val="20"/>
              </w:rPr>
              <w:t>,</w:t>
            </w:r>
            <w:r w:rsidR="00175725">
              <w:rPr>
                <w:rFonts w:ascii="Arial" w:hAnsi="Arial" w:cs="Arial"/>
                <w:color w:val="000000"/>
                <w:sz w:val="20"/>
                <w:szCs w:val="20"/>
              </w:rPr>
              <w:t>938</w:t>
            </w:r>
            <w:r>
              <w:rPr>
                <w:rFonts w:ascii="Arial" w:hAnsi="Arial" w:cs="Arial"/>
                <w:color w:val="000000"/>
                <w:sz w:val="20"/>
                <w:szCs w:val="20"/>
              </w:rPr>
              <w:t xml:space="preserve">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14,404.17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4,375.55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63,026,130 </w:t>
            </w:r>
          </w:p>
        </w:tc>
      </w:tr>
      <w:tr w:rsidR="00CB683F" w:rsidTr="0050214B">
        <w:tc>
          <w:tcPr>
            <w:tcW w:w="2972" w:type="dxa"/>
            <w:shd w:val="clear" w:color="auto" w:fill="auto"/>
            <w:vAlign w:val="bottom"/>
          </w:tcPr>
          <w:p w:rsidR="00CB683F" w:rsidP="001361FB" w:rsidRDefault="00CB683F">
            <w:pPr>
              <w:rPr>
                <w:rFonts w:ascii="Arial" w:hAnsi="Arial" w:cs="Arial"/>
                <w:sz w:val="20"/>
                <w:szCs w:val="20"/>
              </w:rPr>
            </w:pPr>
            <w:r>
              <w:rPr>
                <w:rFonts w:ascii="Arial" w:hAnsi="Arial" w:cs="Arial"/>
                <w:sz w:val="20"/>
                <w:szCs w:val="20"/>
              </w:rPr>
              <w:t xml:space="preserve">Deprivation: Current </w:t>
            </w:r>
            <w:r w:rsidRPr="00E71A0A">
              <w:rPr>
                <w:rFonts w:ascii="Arial" w:hAnsi="Arial" w:cs="Arial"/>
                <w:sz w:val="20"/>
                <w:szCs w:val="20"/>
              </w:rPr>
              <w:t>FSM</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4,587.41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440.00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2,018,460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E</w:t>
            </w:r>
            <w:r>
              <w:rPr>
                <w:rFonts w:ascii="Arial" w:hAnsi="Arial" w:cs="Arial"/>
                <w:sz w:val="20"/>
                <w:szCs w:val="20"/>
              </w:rPr>
              <w:t>ver</w:t>
            </w:r>
            <w:r w:rsidRPr="00E71A0A">
              <w:rPr>
                <w:rFonts w:ascii="Arial" w:hAnsi="Arial" w:cs="Arial"/>
                <w:sz w:val="20"/>
                <w:szCs w:val="20"/>
              </w:rPr>
              <w:t xml:space="preserve"> 6 FSM</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9,147.61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785.00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7,180,877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9,147.61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1,921.25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17,574,884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F</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4,008.47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290.00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1,162,455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E</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1,979.41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390.00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771,969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D</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2,126.46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515.00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1,095,129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C</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2,120.72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560.00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1,187,605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D</w:t>
            </w:r>
            <w:r>
              <w:rPr>
                <w:rFonts w:ascii="Arial" w:hAnsi="Arial" w:cs="Arial"/>
                <w:sz w:val="20"/>
                <w:szCs w:val="20"/>
              </w:rPr>
              <w:t>eprivation</w:t>
            </w:r>
            <w:r w:rsidRPr="00E71A0A">
              <w:rPr>
                <w:rFonts w:ascii="Arial" w:hAnsi="Arial" w:cs="Arial"/>
                <w:sz w:val="20"/>
                <w:szCs w:val="20"/>
              </w:rPr>
              <w:t>: IDACI B</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2,116.11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600.00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1,269,666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vAlign w:val="bottom"/>
          </w:tcPr>
          <w:p w:rsidRPr="00FA760C" w:rsidR="00CB683F" w:rsidP="001361FB" w:rsidRDefault="00CB683F">
            <w:pPr>
              <w:rPr>
                <w:rFonts w:ascii="Arial" w:hAnsi="Arial" w:cs="Arial"/>
                <w:sz w:val="20"/>
                <w:szCs w:val="20"/>
              </w:rPr>
            </w:pPr>
            <w:r w:rsidRPr="00FA760C">
              <w:rPr>
                <w:rFonts w:ascii="Arial" w:hAnsi="Arial" w:cs="Arial"/>
                <w:sz w:val="20"/>
                <w:szCs w:val="20"/>
              </w:rPr>
              <w:t>Deprivation: IDACI A</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197.01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810.00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159,574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vAlign w:val="bottom"/>
          </w:tcPr>
          <w:p w:rsidRPr="00FA760C" w:rsidR="00CB683F" w:rsidP="001361FB" w:rsidRDefault="00CB683F">
            <w:pPr>
              <w:rPr>
                <w:rFonts w:ascii="Arial" w:hAnsi="Arial" w:cs="Arial"/>
                <w:sz w:val="20"/>
                <w:szCs w:val="20"/>
              </w:rPr>
            </w:pPr>
            <w:r w:rsidRPr="00FA760C">
              <w:rPr>
                <w:rFonts w:ascii="Arial" w:hAnsi="Arial" w:cs="Arial"/>
                <w:sz w:val="20"/>
                <w:szCs w:val="20"/>
              </w:rPr>
              <w:t>LPA: KS2 Results</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7,340.23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1,550.00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11,377,351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7,340.23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1,115.01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8,184,433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EAL: 1 Y</w:t>
            </w:r>
            <w:r>
              <w:rPr>
                <w:rFonts w:ascii="Arial" w:hAnsi="Arial" w:cs="Arial"/>
                <w:sz w:val="20"/>
                <w:szCs w:val="20"/>
              </w:rPr>
              <w:t>ear</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46.88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46.88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321.99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15,096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EAL: 3 Y</w:t>
            </w:r>
            <w:r>
              <w:rPr>
                <w:rFonts w:ascii="Arial" w:hAnsi="Arial" w:cs="Arial"/>
                <w:sz w:val="20"/>
                <w:szCs w:val="20"/>
              </w:rPr>
              <w:t>ears</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132.65 </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1,385.00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183,716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tcPr>
          <w:p w:rsidRPr="00E71A0A" w:rsidR="00CB683F" w:rsidP="001361FB" w:rsidRDefault="00CB683F">
            <w:pPr>
              <w:rPr>
                <w:rFonts w:ascii="Arial" w:hAnsi="Arial" w:cs="Arial"/>
                <w:b/>
                <w:sz w:val="20"/>
                <w:szCs w:val="20"/>
              </w:rPr>
            </w:pPr>
            <w:r w:rsidRPr="00E71A0A">
              <w:rPr>
                <w:rFonts w:ascii="Arial" w:hAnsi="Arial" w:cs="Arial"/>
                <w:b/>
                <w:sz w:val="20"/>
                <w:szCs w:val="20"/>
              </w:rPr>
              <w:t>S</w:t>
            </w:r>
            <w:r>
              <w:rPr>
                <w:rFonts w:ascii="Arial" w:hAnsi="Arial" w:cs="Arial"/>
                <w:b/>
                <w:sz w:val="20"/>
                <w:szCs w:val="20"/>
              </w:rPr>
              <w:t>ub Total – Pupil Led</w:t>
            </w:r>
          </w:p>
        </w:tc>
        <w:tc>
          <w:tcPr>
            <w:tcW w:w="1133" w:type="dxa"/>
            <w:shd w:val="clear" w:color="auto" w:fill="auto"/>
          </w:tcPr>
          <w:p w:rsidRPr="00603F83" w:rsidR="00CB683F" w:rsidP="001361FB" w:rsidRDefault="00CB683F">
            <w:pPr>
              <w:jc w:val="right"/>
              <w:rPr>
                <w:rFonts w:ascii="Arial" w:hAnsi="Arial" w:cs="Arial"/>
                <w:b/>
                <w:sz w:val="20"/>
                <w:szCs w:val="20"/>
              </w:rPr>
            </w:pPr>
          </w:p>
        </w:tc>
        <w:tc>
          <w:tcPr>
            <w:tcW w:w="1287" w:type="dxa"/>
            <w:shd w:val="clear" w:color="auto" w:fill="auto"/>
          </w:tcPr>
          <w:p w:rsidRPr="00603F83" w:rsidR="00CB683F" w:rsidP="001361FB" w:rsidRDefault="00CB683F">
            <w:pPr>
              <w:jc w:val="right"/>
              <w:rPr>
                <w:rFonts w:ascii="Arial" w:hAnsi="Arial" w:cs="Arial"/>
                <w:b/>
                <w:sz w:val="20"/>
                <w:szCs w:val="20"/>
              </w:rPr>
            </w:pPr>
          </w:p>
        </w:tc>
        <w:tc>
          <w:tcPr>
            <w:tcW w:w="1329" w:type="dxa"/>
            <w:shd w:val="clear" w:color="auto" w:fill="auto"/>
          </w:tcPr>
          <w:p w:rsidRPr="00603F83" w:rsidR="00CB683F" w:rsidP="00175725" w:rsidRDefault="00CB683F">
            <w:pPr>
              <w:jc w:val="right"/>
              <w:rPr>
                <w:rFonts w:ascii="Arial" w:hAnsi="Arial" w:cs="Arial"/>
                <w:b/>
                <w:bCs/>
                <w:color w:val="000000"/>
                <w:sz w:val="20"/>
                <w:szCs w:val="20"/>
              </w:rPr>
            </w:pPr>
            <w:r>
              <w:rPr>
                <w:rFonts w:ascii="Arial" w:hAnsi="Arial" w:cs="Arial"/>
                <w:b/>
                <w:bCs/>
                <w:color w:val="000000"/>
                <w:sz w:val="20"/>
                <w:szCs w:val="20"/>
              </w:rPr>
              <w:t>177,3</w:t>
            </w:r>
            <w:r w:rsidR="00175725">
              <w:rPr>
                <w:rFonts w:ascii="Arial" w:hAnsi="Arial" w:cs="Arial"/>
                <w:b/>
                <w:bCs/>
                <w:color w:val="000000"/>
                <w:sz w:val="20"/>
                <w:szCs w:val="20"/>
              </w:rPr>
              <w:t>78</w:t>
            </w:r>
            <w:r>
              <w:rPr>
                <w:rFonts w:ascii="Arial" w:hAnsi="Arial" w:cs="Arial"/>
                <w:b/>
                <w:bCs/>
                <w:color w:val="000000"/>
                <w:sz w:val="20"/>
                <w:szCs w:val="20"/>
              </w:rPr>
              <w:t>,7</w:t>
            </w:r>
            <w:r w:rsidR="00175725">
              <w:rPr>
                <w:rFonts w:ascii="Arial" w:hAnsi="Arial" w:cs="Arial"/>
                <w:b/>
                <w:bCs/>
                <w:color w:val="000000"/>
                <w:sz w:val="20"/>
                <w:szCs w:val="20"/>
              </w:rPr>
              <w:t>75</w:t>
            </w:r>
            <w:r>
              <w:rPr>
                <w:rFonts w:ascii="Arial" w:hAnsi="Arial" w:cs="Arial"/>
                <w:b/>
                <w:bCs/>
                <w:color w:val="000000"/>
                <w:sz w:val="20"/>
                <w:szCs w:val="20"/>
              </w:rPr>
              <w:t xml:space="preserve">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tcPr>
          <w:p w:rsidRPr="00603F83" w:rsidR="00CB683F" w:rsidP="001361FB" w:rsidRDefault="00CB683F">
            <w:pPr>
              <w:jc w:val="right"/>
              <w:rPr>
                <w:rFonts w:ascii="Arial" w:hAnsi="Arial" w:cs="Arial"/>
                <w:b/>
                <w:sz w:val="20"/>
                <w:szCs w:val="20"/>
              </w:rPr>
            </w:pPr>
          </w:p>
        </w:tc>
        <w:tc>
          <w:tcPr>
            <w:tcW w:w="1276" w:type="dxa"/>
            <w:shd w:val="clear" w:color="auto" w:fill="auto"/>
          </w:tcPr>
          <w:p w:rsidRPr="00603F83" w:rsidR="00CB683F" w:rsidP="001361FB" w:rsidRDefault="00CB683F">
            <w:pPr>
              <w:jc w:val="right"/>
              <w:rPr>
                <w:rFonts w:ascii="Arial" w:hAnsi="Arial" w:cs="Arial"/>
                <w:b/>
                <w:sz w:val="20"/>
                <w:szCs w:val="20"/>
              </w:rPr>
            </w:pPr>
          </w:p>
        </w:tc>
        <w:tc>
          <w:tcPr>
            <w:tcW w:w="1329" w:type="dxa"/>
            <w:shd w:val="clear" w:color="auto" w:fill="auto"/>
          </w:tcPr>
          <w:p w:rsidRPr="00F46288" w:rsidR="00CB683F" w:rsidP="001361FB" w:rsidRDefault="00CB683F">
            <w:pPr>
              <w:jc w:val="right"/>
              <w:rPr>
                <w:rFonts w:ascii="Arial" w:hAnsi="Arial" w:cs="Arial"/>
                <w:b/>
                <w:bCs/>
                <w:color w:val="000000"/>
                <w:sz w:val="20"/>
                <w:szCs w:val="20"/>
              </w:rPr>
            </w:pPr>
            <w:r>
              <w:rPr>
                <w:rFonts w:ascii="Arial" w:hAnsi="Arial" w:cs="Arial"/>
                <w:b/>
                <w:bCs/>
                <w:color w:val="000000"/>
                <w:sz w:val="20"/>
                <w:szCs w:val="20"/>
              </w:rPr>
              <w:t xml:space="preserve">173,685,194 </w:t>
            </w:r>
          </w:p>
        </w:tc>
      </w:tr>
      <w:tr w:rsidR="00CB683F" w:rsidTr="0050214B">
        <w:tc>
          <w:tcPr>
            <w:tcW w:w="2972" w:type="dxa"/>
            <w:shd w:val="clear" w:color="auto" w:fill="auto"/>
          </w:tcPr>
          <w:p w:rsidRPr="00603F83" w:rsidR="00CB683F" w:rsidP="001361FB" w:rsidRDefault="00CB683F">
            <w:pPr>
              <w:rPr>
                <w:rFonts w:ascii="Arial" w:hAnsi="Arial" w:cs="Arial"/>
                <w:b/>
                <w:sz w:val="20"/>
                <w:szCs w:val="20"/>
              </w:rPr>
            </w:pPr>
          </w:p>
        </w:tc>
        <w:tc>
          <w:tcPr>
            <w:tcW w:w="1133" w:type="dxa"/>
            <w:shd w:val="clear" w:color="auto" w:fill="auto"/>
          </w:tcPr>
          <w:p w:rsidRPr="00603F83" w:rsidR="00CB683F" w:rsidP="001361FB" w:rsidRDefault="00CB683F">
            <w:pPr>
              <w:jc w:val="right"/>
              <w:rPr>
                <w:rFonts w:ascii="Arial" w:hAnsi="Arial" w:cs="Arial"/>
                <w:b/>
                <w:sz w:val="20"/>
                <w:szCs w:val="20"/>
              </w:rPr>
            </w:pPr>
          </w:p>
        </w:tc>
        <w:tc>
          <w:tcPr>
            <w:tcW w:w="1287" w:type="dxa"/>
            <w:shd w:val="clear" w:color="auto" w:fill="auto"/>
          </w:tcPr>
          <w:p w:rsidRPr="00603F83" w:rsidR="00CB683F" w:rsidP="001361FB" w:rsidRDefault="00CB683F">
            <w:pPr>
              <w:jc w:val="right"/>
              <w:rPr>
                <w:rFonts w:ascii="Arial" w:hAnsi="Arial" w:cs="Arial"/>
                <w:b/>
                <w:sz w:val="20"/>
                <w:szCs w:val="20"/>
              </w:rPr>
            </w:pPr>
          </w:p>
        </w:tc>
        <w:tc>
          <w:tcPr>
            <w:tcW w:w="1329" w:type="dxa"/>
            <w:shd w:val="clear" w:color="auto" w:fill="auto"/>
          </w:tcPr>
          <w:p w:rsidRPr="00603F83" w:rsidR="00CB683F" w:rsidP="001361FB" w:rsidRDefault="00CB683F">
            <w:pPr>
              <w:jc w:val="right"/>
              <w:rPr>
                <w:rFonts w:ascii="Arial" w:hAnsi="Arial" w:cs="Arial"/>
                <w:b/>
                <w:bCs/>
                <w:color w:val="000000"/>
                <w:sz w:val="20"/>
                <w:szCs w:val="20"/>
              </w:rPr>
            </w:pP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tcPr>
          <w:p w:rsidRPr="00603F83" w:rsidR="00CB683F" w:rsidP="001361FB" w:rsidRDefault="00CB683F">
            <w:pPr>
              <w:jc w:val="right"/>
              <w:rPr>
                <w:rFonts w:ascii="Arial" w:hAnsi="Arial" w:cs="Arial"/>
                <w:b/>
                <w:sz w:val="20"/>
                <w:szCs w:val="20"/>
              </w:rPr>
            </w:pPr>
          </w:p>
        </w:tc>
        <w:tc>
          <w:tcPr>
            <w:tcW w:w="1276" w:type="dxa"/>
            <w:shd w:val="clear" w:color="auto" w:fill="auto"/>
          </w:tcPr>
          <w:p w:rsidRPr="00603F83" w:rsidR="00CB683F" w:rsidP="001361FB" w:rsidRDefault="00CB683F">
            <w:pPr>
              <w:jc w:val="right"/>
              <w:rPr>
                <w:rFonts w:ascii="Arial" w:hAnsi="Arial" w:cs="Arial"/>
                <w:b/>
                <w:sz w:val="20"/>
                <w:szCs w:val="20"/>
              </w:rPr>
            </w:pPr>
          </w:p>
        </w:tc>
        <w:tc>
          <w:tcPr>
            <w:tcW w:w="1329" w:type="dxa"/>
            <w:shd w:val="clear" w:color="auto" w:fill="auto"/>
          </w:tcPr>
          <w:p w:rsidRPr="00603F83" w:rsidR="00CB683F" w:rsidP="001361FB" w:rsidRDefault="00CB683F">
            <w:pPr>
              <w:jc w:val="right"/>
              <w:rPr>
                <w:rFonts w:ascii="Arial" w:hAnsi="Arial" w:cs="Arial"/>
                <w:b/>
                <w:sz w:val="20"/>
                <w:szCs w:val="20"/>
              </w:rPr>
            </w:pP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Pr>
                <w:rFonts w:ascii="Arial" w:hAnsi="Arial" w:cs="Arial"/>
                <w:sz w:val="20"/>
                <w:szCs w:val="20"/>
              </w:rPr>
              <w:t>Lump Sum</w:t>
            </w:r>
          </w:p>
        </w:tc>
        <w:tc>
          <w:tcPr>
            <w:tcW w:w="1133"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 xml:space="preserve">45.00 </w:t>
            </w:r>
          </w:p>
        </w:tc>
        <w:tc>
          <w:tcPr>
            <w:tcW w:w="1287" w:type="dxa"/>
            <w:shd w:val="clear" w:color="auto" w:fill="auto"/>
            <w:vAlign w:val="bottom"/>
          </w:tcPr>
          <w:p w:rsidRPr="00F46288" w:rsidR="00CB683F" w:rsidP="001361FB" w:rsidRDefault="00EB6AA9">
            <w:pPr>
              <w:jc w:val="right"/>
              <w:rPr>
                <w:rFonts w:ascii="Arial" w:hAnsi="Arial" w:cs="Arial"/>
                <w:bCs/>
                <w:color w:val="000000"/>
                <w:sz w:val="20"/>
                <w:szCs w:val="20"/>
              </w:rPr>
            </w:pPr>
            <w:r>
              <w:rPr>
                <w:rFonts w:ascii="Arial" w:hAnsi="Arial" w:cs="Arial"/>
                <w:bCs/>
                <w:color w:val="000000"/>
                <w:sz w:val="20"/>
                <w:szCs w:val="20"/>
              </w:rPr>
              <w:t>110,000.00</w:t>
            </w:r>
          </w:p>
        </w:tc>
        <w:tc>
          <w:tcPr>
            <w:tcW w:w="1329" w:type="dxa"/>
            <w:shd w:val="clear" w:color="auto" w:fill="auto"/>
            <w:vAlign w:val="bottom"/>
          </w:tcPr>
          <w:p w:rsidRPr="00F46288" w:rsidR="00CB683F" w:rsidP="001361FB" w:rsidRDefault="00EB6AA9">
            <w:pPr>
              <w:jc w:val="right"/>
              <w:rPr>
                <w:rFonts w:ascii="Arial" w:hAnsi="Arial" w:cs="Arial"/>
                <w:color w:val="000000"/>
                <w:sz w:val="20"/>
                <w:szCs w:val="20"/>
              </w:rPr>
            </w:pPr>
            <w:r>
              <w:rPr>
                <w:rFonts w:ascii="Arial" w:hAnsi="Arial" w:cs="Arial"/>
                <w:color w:val="000000"/>
                <w:sz w:val="20"/>
                <w:szCs w:val="20"/>
              </w:rPr>
              <w:t>4,950,000</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 xml:space="preserve">45.00 </w:t>
            </w:r>
          </w:p>
        </w:tc>
        <w:tc>
          <w:tcPr>
            <w:tcW w:w="1276" w:type="dxa"/>
            <w:shd w:val="clear" w:color="auto" w:fill="auto"/>
            <w:vAlign w:val="bottom"/>
          </w:tcPr>
          <w:p w:rsidRPr="00F46288" w:rsidR="00CB683F" w:rsidP="001361FB" w:rsidRDefault="00CB683F">
            <w:pPr>
              <w:jc w:val="right"/>
              <w:rPr>
                <w:rFonts w:ascii="Arial" w:hAnsi="Arial" w:cs="Arial"/>
                <w:bCs/>
                <w:color w:val="000000"/>
                <w:sz w:val="20"/>
                <w:szCs w:val="20"/>
              </w:rPr>
            </w:pPr>
            <w:r w:rsidRPr="00F46288">
              <w:rPr>
                <w:rFonts w:ascii="Arial" w:hAnsi="Arial" w:cs="Arial"/>
                <w:bCs/>
                <w:color w:val="000000"/>
                <w:sz w:val="20"/>
                <w:szCs w:val="20"/>
              </w:rPr>
              <w:t xml:space="preserve">150,967.40 </w:t>
            </w:r>
          </w:p>
        </w:tc>
        <w:tc>
          <w:tcPr>
            <w:tcW w:w="1329"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 xml:space="preserve">6,793,533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S</w:t>
            </w:r>
            <w:r>
              <w:rPr>
                <w:rFonts w:ascii="Arial" w:hAnsi="Arial" w:cs="Arial"/>
                <w:sz w:val="20"/>
                <w:szCs w:val="20"/>
              </w:rPr>
              <w:t>parsity</w:t>
            </w:r>
          </w:p>
        </w:tc>
        <w:tc>
          <w:tcPr>
            <w:tcW w:w="1133"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 xml:space="preserve">0.65 </w:t>
            </w:r>
          </w:p>
        </w:tc>
        <w:tc>
          <w:tcPr>
            <w:tcW w:w="1287"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 xml:space="preserve">65,000.00 </w:t>
            </w:r>
          </w:p>
        </w:tc>
        <w:tc>
          <w:tcPr>
            <w:tcW w:w="1329"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 xml:space="preserve">42,250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0.00 </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S</w:t>
            </w:r>
            <w:r>
              <w:rPr>
                <w:rFonts w:ascii="Arial" w:hAnsi="Arial" w:cs="Arial"/>
                <w:sz w:val="20"/>
                <w:szCs w:val="20"/>
              </w:rPr>
              <w:t>plit Site</w:t>
            </w:r>
          </w:p>
        </w:tc>
        <w:tc>
          <w:tcPr>
            <w:tcW w:w="1133"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N/A</w:t>
            </w:r>
          </w:p>
        </w:tc>
        <w:tc>
          <w:tcPr>
            <w:tcW w:w="1287"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N/A</w:t>
            </w:r>
          </w:p>
        </w:tc>
        <w:tc>
          <w:tcPr>
            <w:tcW w:w="1329"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 xml:space="preserve">501,065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501,065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Pr>
                <w:rFonts w:ascii="Arial" w:hAnsi="Arial" w:cs="Arial"/>
                <w:sz w:val="20"/>
                <w:szCs w:val="20"/>
              </w:rPr>
              <w:t>PFI</w:t>
            </w:r>
          </w:p>
        </w:tc>
        <w:tc>
          <w:tcPr>
            <w:tcW w:w="1133"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N/A</w:t>
            </w:r>
          </w:p>
        </w:tc>
        <w:tc>
          <w:tcPr>
            <w:tcW w:w="1287"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N/A</w:t>
            </w:r>
          </w:p>
        </w:tc>
        <w:tc>
          <w:tcPr>
            <w:tcW w:w="1329" w:type="dxa"/>
            <w:shd w:val="clear" w:color="auto" w:fill="auto"/>
            <w:vAlign w:val="bottom"/>
          </w:tcPr>
          <w:p w:rsidRPr="00F46288" w:rsidR="00CB683F" w:rsidP="001361FB" w:rsidRDefault="00CB683F">
            <w:pPr>
              <w:jc w:val="right"/>
              <w:rPr>
                <w:rFonts w:ascii="Arial" w:hAnsi="Arial" w:cs="Arial"/>
                <w:color w:val="000000"/>
                <w:sz w:val="20"/>
                <w:szCs w:val="20"/>
              </w:rPr>
            </w:pPr>
            <w:r w:rsidRPr="00F46288">
              <w:rPr>
                <w:rFonts w:ascii="Arial" w:hAnsi="Arial" w:cs="Arial"/>
                <w:color w:val="000000"/>
                <w:sz w:val="20"/>
                <w:szCs w:val="20"/>
              </w:rPr>
              <w:t xml:space="preserve">2,036,646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2,036,646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R</w:t>
            </w:r>
            <w:r>
              <w:rPr>
                <w:rFonts w:ascii="Arial" w:hAnsi="Arial" w:cs="Arial"/>
                <w:sz w:val="20"/>
                <w:szCs w:val="20"/>
              </w:rPr>
              <w:t>ates</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3,649,408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3,649,408 </w:t>
            </w:r>
          </w:p>
        </w:tc>
      </w:tr>
      <w:tr w:rsidR="00CB683F" w:rsidTr="0050214B">
        <w:tc>
          <w:tcPr>
            <w:tcW w:w="2972" w:type="dxa"/>
            <w:shd w:val="clear" w:color="auto" w:fill="auto"/>
            <w:vAlign w:val="bottom"/>
          </w:tcPr>
          <w:p w:rsidRPr="00E71A0A" w:rsidR="00CB683F" w:rsidP="001361FB" w:rsidRDefault="00CB683F">
            <w:pPr>
              <w:rPr>
                <w:rFonts w:ascii="Arial" w:hAnsi="Arial" w:cs="Arial"/>
                <w:sz w:val="20"/>
                <w:szCs w:val="20"/>
              </w:rPr>
            </w:pPr>
            <w:r w:rsidRPr="00E71A0A">
              <w:rPr>
                <w:rFonts w:ascii="Arial" w:hAnsi="Arial" w:cs="Arial"/>
                <w:sz w:val="20"/>
                <w:szCs w:val="20"/>
              </w:rPr>
              <w:t>E</w:t>
            </w:r>
            <w:r>
              <w:rPr>
                <w:rFonts w:ascii="Arial" w:hAnsi="Arial" w:cs="Arial"/>
                <w:sz w:val="20"/>
                <w:szCs w:val="20"/>
              </w:rPr>
              <w:t>xceptional site factor</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106,030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106,030 </w:t>
            </w:r>
          </w:p>
        </w:tc>
      </w:tr>
      <w:tr w:rsidR="00CB683F" w:rsidTr="0050214B">
        <w:tc>
          <w:tcPr>
            <w:tcW w:w="2972" w:type="dxa"/>
            <w:shd w:val="clear" w:color="auto" w:fill="auto"/>
          </w:tcPr>
          <w:p w:rsidRPr="00E71A0A" w:rsidR="00CB683F" w:rsidP="001361FB" w:rsidRDefault="00CB683F">
            <w:pPr>
              <w:rPr>
                <w:rFonts w:ascii="Arial" w:hAnsi="Arial" w:cs="Arial"/>
                <w:sz w:val="20"/>
                <w:szCs w:val="20"/>
              </w:rPr>
            </w:pPr>
            <w:r>
              <w:rPr>
                <w:rFonts w:ascii="Arial" w:hAnsi="Arial" w:cs="Arial"/>
                <w:sz w:val="20"/>
                <w:szCs w:val="20"/>
              </w:rPr>
              <w:t>MFG Protection</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75725" w:rsidRDefault="00CB683F">
            <w:pPr>
              <w:jc w:val="right"/>
              <w:rPr>
                <w:rFonts w:ascii="Arial" w:hAnsi="Arial" w:cs="Arial"/>
                <w:color w:val="000000"/>
                <w:sz w:val="20"/>
                <w:szCs w:val="20"/>
              </w:rPr>
            </w:pPr>
            <w:r>
              <w:rPr>
                <w:rFonts w:ascii="Arial" w:hAnsi="Arial" w:cs="Arial"/>
                <w:color w:val="000000"/>
                <w:sz w:val="20"/>
                <w:szCs w:val="20"/>
              </w:rPr>
              <w:t>1,</w:t>
            </w:r>
            <w:r w:rsidR="00175725">
              <w:rPr>
                <w:rFonts w:ascii="Arial" w:hAnsi="Arial" w:cs="Arial"/>
                <w:color w:val="000000"/>
                <w:sz w:val="20"/>
                <w:szCs w:val="20"/>
              </w:rPr>
              <w:t>505,791</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A73FF6" w:rsidRDefault="00A73FF6">
            <w:pPr>
              <w:jc w:val="right"/>
              <w:rPr>
                <w:rFonts w:ascii="Arial" w:hAnsi="Arial" w:cs="Arial"/>
                <w:color w:val="000000"/>
                <w:sz w:val="20"/>
                <w:szCs w:val="20"/>
              </w:rPr>
            </w:pPr>
            <w:r>
              <w:rPr>
                <w:rFonts w:ascii="Arial" w:hAnsi="Arial" w:cs="Arial"/>
                <w:color w:val="000000"/>
                <w:sz w:val="20"/>
                <w:szCs w:val="20"/>
              </w:rPr>
              <w:t>2,187,358</w:t>
            </w:r>
          </w:p>
        </w:tc>
      </w:tr>
      <w:tr w:rsidR="00CB683F" w:rsidTr="0050214B">
        <w:tc>
          <w:tcPr>
            <w:tcW w:w="2972" w:type="dxa"/>
            <w:shd w:val="clear" w:color="auto" w:fill="auto"/>
          </w:tcPr>
          <w:p w:rsidRPr="00E71A0A" w:rsidR="00CB683F" w:rsidP="001361FB" w:rsidRDefault="00CB683F">
            <w:pPr>
              <w:rPr>
                <w:rFonts w:ascii="Arial" w:hAnsi="Arial" w:cs="Arial"/>
                <w:sz w:val="20"/>
                <w:szCs w:val="20"/>
              </w:rPr>
            </w:pPr>
            <w:r>
              <w:rPr>
                <w:rFonts w:ascii="Arial" w:hAnsi="Arial" w:cs="Arial"/>
                <w:sz w:val="20"/>
                <w:szCs w:val="20"/>
              </w:rPr>
              <w:t>Capped gains</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tcPr>
          <w:p w:rsidRPr="00E71A0A" w:rsidR="00CB683F" w:rsidP="00A73FF6" w:rsidRDefault="00CB683F">
            <w:pPr>
              <w:rPr>
                <w:rFonts w:ascii="Arial" w:hAnsi="Arial" w:cs="Arial"/>
                <w:sz w:val="20"/>
                <w:szCs w:val="20"/>
              </w:rPr>
            </w:pPr>
            <w:r>
              <w:rPr>
                <w:rFonts w:ascii="Arial" w:hAnsi="Arial" w:cs="Arial"/>
                <w:sz w:val="20"/>
                <w:szCs w:val="20"/>
              </w:rPr>
              <w:t>Minimum per pupil (£4,</w:t>
            </w:r>
            <w:r w:rsidR="00EB6AA9">
              <w:rPr>
                <w:rFonts w:ascii="Arial" w:hAnsi="Arial" w:cs="Arial"/>
                <w:sz w:val="20"/>
                <w:szCs w:val="20"/>
              </w:rPr>
              <w:t>6</w:t>
            </w:r>
            <w:r w:rsidR="00A73FF6">
              <w:rPr>
                <w:rFonts w:ascii="Arial" w:hAnsi="Arial" w:cs="Arial"/>
                <w:sz w:val="20"/>
                <w:szCs w:val="20"/>
              </w:rPr>
              <w:t>0</w:t>
            </w:r>
            <w:r>
              <w:rPr>
                <w:rFonts w:ascii="Arial" w:hAnsi="Arial" w:cs="Arial"/>
                <w:sz w:val="20"/>
                <w:szCs w:val="20"/>
              </w:rPr>
              <w:t>0)</w:t>
            </w:r>
          </w:p>
        </w:tc>
        <w:tc>
          <w:tcPr>
            <w:tcW w:w="1133"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87"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203609" w:rsidRDefault="00A73FF6">
            <w:pPr>
              <w:jc w:val="right"/>
              <w:rPr>
                <w:rFonts w:ascii="Arial" w:hAnsi="Arial" w:cs="Arial"/>
                <w:color w:val="000000"/>
                <w:sz w:val="20"/>
                <w:szCs w:val="20"/>
              </w:rPr>
            </w:pPr>
            <w:r>
              <w:rPr>
                <w:rFonts w:ascii="Arial" w:hAnsi="Arial" w:cs="Arial"/>
                <w:color w:val="000000"/>
                <w:sz w:val="20"/>
                <w:szCs w:val="20"/>
              </w:rPr>
              <w:t>281,878</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276"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N/A</w:t>
            </w:r>
          </w:p>
        </w:tc>
        <w:tc>
          <w:tcPr>
            <w:tcW w:w="1329" w:type="dxa"/>
            <w:shd w:val="clear" w:color="auto" w:fill="auto"/>
            <w:vAlign w:val="bottom"/>
          </w:tcPr>
          <w:p w:rsidR="00CB683F" w:rsidP="001361FB" w:rsidRDefault="00CB683F">
            <w:pPr>
              <w:jc w:val="right"/>
              <w:rPr>
                <w:rFonts w:ascii="Arial" w:hAnsi="Arial" w:cs="Arial"/>
                <w:color w:val="000000"/>
                <w:sz w:val="20"/>
                <w:szCs w:val="20"/>
              </w:rPr>
            </w:pPr>
            <w:r>
              <w:rPr>
                <w:rFonts w:ascii="Arial" w:hAnsi="Arial" w:cs="Arial"/>
                <w:color w:val="000000"/>
                <w:sz w:val="20"/>
                <w:szCs w:val="20"/>
              </w:rPr>
              <w:t xml:space="preserve">0 </w:t>
            </w:r>
          </w:p>
        </w:tc>
      </w:tr>
      <w:tr w:rsidR="00CB683F" w:rsidTr="0050214B">
        <w:tc>
          <w:tcPr>
            <w:tcW w:w="2972" w:type="dxa"/>
            <w:shd w:val="clear" w:color="auto" w:fill="auto"/>
          </w:tcPr>
          <w:p w:rsidRPr="00603F83" w:rsidR="00CB683F" w:rsidP="001361FB" w:rsidRDefault="00CB683F">
            <w:pPr>
              <w:rPr>
                <w:rFonts w:ascii="Arial" w:hAnsi="Arial" w:cs="Arial"/>
                <w:b/>
                <w:sz w:val="20"/>
                <w:szCs w:val="20"/>
              </w:rPr>
            </w:pPr>
            <w:r w:rsidRPr="00603F83">
              <w:rPr>
                <w:rFonts w:ascii="Arial" w:hAnsi="Arial" w:cs="Arial"/>
                <w:b/>
                <w:sz w:val="20"/>
                <w:szCs w:val="20"/>
              </w:rPr>
              <w:t>Total</w:t>
            </w:r>
          </w:p>
        </w:tc>
        <w:tc>
          <w:tcPr>
            <w:tcW w:w="1133" w:type="dxa"/>
            <w:shd w:val="clear" w:color="auto" w:fill="auto"/>
          </w:tcPr>
          <w:p w:rsidRPr="00603F83" w:rsidR="00CB683F" w:rsidP="001361FB" w:rsidRDefault="00CB683F">
            <w:pPr>
              <w:jc w:val="right"/>
              <w:rPr>
                <w:rFonts w:ascii="Arial" w:hAnsi="Arial" w:cs="Arial"/>
                <w:b/>
                <w:sz w:val="20"/>
                <w:szCs w:val="20"/>
              </w:rPr>
            </w:pPr>
          </w:p>
        </w:tc>
        <w:tc>
          <w:tcPr>
            <w:tcW w:w="1287" w:type="dxa"/>
            <w:shd w:val="clear" w:color="auto" w:fill="auto"/>
          </w:tcPr>
          <w:p w:rsidRPr="00603F83" w:rsidR="00CB683F" w:rsidP="001361FB" w:rsidRDefault="00CB683F">
            <w:pPr>
              <w:jc w:val="right"/>
              <w:rPr>
                <w:rFonts w:ascii="Arial" w:hAnsi="Arial" w:cs="Arial"/>
                <w:b/>
                <w:sz w:val="20"/>
                <w:szCs w:val="20"/>
              </w:rPr>
            </w:pPr>
          </w:p>
        </w:tc>
        <w:tc>
          <w:tcPr>
            <w:tcW w:w="1329" w:type="dxa"/>
            <w:shd w:val="clear" w:color="auto" w:fill="auto"/>
          </w:tcPr>
          <w:p w:rsidRPr="00603F83" w:rsidR="00CB683F" w:rsidP="00175725" w:rsidRDefault="00CB683F">
            <w:pPr>
              <w:jc w:val="right"/>
              <w:rPr>
                <w:rFonts w:ascii="Arial" w:hAnsi="Arial" w:cs="Arial"/>
                <w:b/>
                <w:bCs/>
                <w:color w:val="000000"/>
                <w:sz w:val="20"/>
                <w:szCs w:val="20"/>
              </w:rPr>
            </w:pPr>
            <w:r>
              <w:rPr>
                <w:rFonts w:ascii="Arial" w:hAnsi="Arial" w:cs="Arial"/>
                <w:b/>
                <w:bCs/>
                <w:color w:val="000000"/>
                <w:sz w:val="20"/>
                <w:szCs w:val="20"/>
              </w:rPr>
              <w:t>19</w:t>
            </w:r>
            <w:r w:rsidR="00EB6AA9">
              <w:rPr>
                <w:rFonts w:ascii="Arial" w:hAnsi="Arial" w:cs="Arial"/>
                <w:b/>
                <w:bCs/>
                <w:color w:val="000000"/>
                <w:sz w:val="20"/>
                <w:szCs w:val="20"/>
              </w:rPr>
              <w:t>0</w:t>
            </w:r>
            <w:r>
              <w:rPr>
                <w:rFonts w:ascii="Arial" w:hAnsi="Arial" w:cs="Arial"/>
                <w:b/>
                <w:bCs/>
                <w:color w:val="000000"/>
                <w:sz w:val="20"/>
                <w:szCs w:val="20"/>
              </w:rPr>
              <w:t>,</w:t>
            </w:r>
            <w:r w:rsidR="00203609">
              <w:rPr>
                <w:rFonts w:ascii="Arial" w:hAnsi="Arial" w:cs="Arial"/>
                <w:b/>
                <w:bCs/>
                <w:color w:val="000000"/>
                <w:sz w:val="20"/>
                <w:szCs w:val="20"/>
              </w:rPr>
              <w:t>4</w:t>
            </w:r>
            <w:r w:rsidR="00A73FF6">
              <w:rPr>
                <w:rFonts w:ascii="Arial" w:hAnsi="Arial" w:cs="Arial"/>
                <w:b/>
                <w:bCs/>
                <w:color w:val="000000"/>
                <w:sz w:val="20"/>
                <w:szCs w:val="20"/>
              </w:rPr>
              <w:t>5</w:t>
            </w:r>
            <w:r w:rsidR="00175725">
              <w:rPr>
                <w:rFonts w:ascii="Arial" w:hAnsi="Arial" w:cs="Arial"/>
                <w:b/>
                <w:bCs/>
                <w:color w:val="000000"/>
                <w:sz w:val="20"/>
                <w:szCs w:val="20"/>
              </w:rPr>
              <w:t>1</w:t>
            </w:r>
            <w:r w:rsidR="00A73FF6">
              <w:rPr>
                <w:rFonts w:ascii="Arial" w:hAnsi="Arial" w:cs="Arial"/>
                <w:b/>
                <w:bCs/>
                <w:color w:val="000000"/>
                <w:sz w:val="20"/>
                <w:szCs w:val="20"/>
              </w:rPr>
              <w:t>,</w:t>
            </w:r>
            <w:r w:rsidR="00175725">
              <w:rPr>
                <w:rFonts w:ascii="Arial" w:hAnsi="Arial" w:cs="Arial"/>
                <w:b/>
                <w:bCs/>
                <w:color w:val="000000"/>
                <w:sz w:val="20"/>
                <w:szCs w:val="20"/>
              </w:rPr>
              <w:t>843</w:t>
            </w:r>
          </w:p>
        </w:tc>
        <w:tc>
          <w:tcPr>
            <w:tcW w:w="236" w:type="dxa"/>
            <w:shd w:val="clear" w:color="auto" w:fill="2E74B5" w:themeFill="accent1" w:themeFillShade="BF"/>
          </w:tcPr>
          <w:p w:rsidRPr="00603F83" w:rsidR="00CB683F" w:rsidP="001361FB" w:rsidRDefault="00CB683F">
            <w:pPr>
              <w:jc w:val="right"/>
              <w:rPr>
                <w:rFonts w:ascii="Arial" w:hAnsi="Arial" w:cs="Arial"/>
                <w:b/>
                <w:sz w:val="20"/>
                <w:szCs w:val="20"/>
              </w:rPr>
            </w:pPr>
          </w:p>
        </w:tc>
        <w:tc>
          <w:tcPr>
            <w:tcW w:w="1118" w:type="dxa"/>
            <w:shd w:val="clear" w:color="auto" w:fill="auto"/>
          </w:tcPr>
          <w:p w:rsidRPr="00603F83" w:rsidR="00CB683F" w:rsidP="001361FB" w:rsidRDefault="00CB683F">
            <w:pPr>
              <w:jc w:val="right"/>
              <w:rPr>
                <w:rFonts w:ascii="Arial" w:hAnsi="Arial" w:cs="Arial"/>
                <w:b/>
                <w:sz w:val="20"/>
                <w:szCs w:val="20"/>
              </w:rPr>
            </w:pPr>
          </w:p>
        </w:tc>
        <w:tc>
          <w:tcPr>
            <w:tcW w:w="1276" w:type="dxa"/>
            <w:shd w:val="clear" w:color="auto" w:fill="auto"/>
          </w:tcPr>
          <w:p w:rsidRPr="00603F83" w:rsidR="00CB683F" w:rsidP="001361FB" w:rsidRDefault="00CB683F">
            <w:pPr>
              <w:jc w:val="right"/>
              <w:rPr>
                <w:rFonts w:ascii="Arial" w:hAnsi="Arial" w:cs="Arial"/>
                <w:b/>
                <w:sz w:val="20"/>
                <w:szCs w:val="20"/>
              </w:rPr>
            </w:pPr>
          </w:p>
        </w:tc>
        <w:tc>
          <w:tcPr>
            <w:tcW w:w="1329" w:type="dxa"/>
            <w:shd w:val="clear" w:color="auto" w:fill="auto"/>
          </w:tcPr>
          <w:p w:rsidRPr="00F46288" w:rsidR="00CB683F" w:rsidP="00A73FF6" w:rsidRDefault="00CB683F">
            <w:pPr>
              <w:jc w:val="right"/>
              <w:rPr>
                <w:rFonts w:ascii="Arial" w:hAnsi="Arial" w:cs="Arial"/>
                <w:b/>
                <w:bCs/>
                <w:color w:val="000000"/>
                <w:sz w:val="20"/>
                <w:szCs w:val="20"/>
              </w:rPr>
            </w:pPr>
            <w:r>
              <w:rPr>
                <w:rFonts w:ascii="Arial" w:hAnsi="Arial" w:cs="Arial"/>
                <w:b/>
                <w:bCs/>
                <w:color w:val="000000"/>
                <w:sz w:val="20"/>
                <w:szCs w:val="20"/>
              </w:rPr>
              <w:t>18</w:t>
            </w:r>
            <w:r w:rsidR="00A73FF6">
              <w:rPr>
                <w:rFonts w:ascii="Arial" w:hAnsi="Arial" w:cs="Arial"/>
                <w:b/>
                <w:bCs/>
                <w:color w:val="000000"/>
                <w:sz w:val="20"/>
                <w:szCs w:val="20"/>
              </w:rPr>
              <w:t>8</w:t>
            </w:r>
            <w:r>
              <w:rPr>
                <w:rFonts w:ascii="Arial" w:hAnsi="Arial" w:cs="Arial"/>
                <w:b/>
                <w:bCs/>
                <w:color w:val="000000"/>
                <w:sz w:val="20"/>
                <w:szCs w:val="20"/>
              </w:rPr>
              <w:t>,</w:t>
            </w:r>
            <w:r w:rsidR="00A73FF6">
              <w:rPr>
                <w:rFonts w:ascii="Arial" w:hAnsi="Arial" w:cs="Arial"/>
                <w:b/>
                <w:bCs/>
                <w:color w:val="000000"/>
                <w:sz w:val="20"/>
                <w:szCs w:val="20"/>
              </w:rPr>
              <w:t>959</w:t>
            </w:r>
            <w:r>
              <w:rPr>
                <w:rFonts w:ascii="Arial" w:hAnsi="Arial" w:cs="Arial"/>
                <w:b/>
                <w:bCs/>
                <w:color w:val="000000"/>
                <w:sz w:val="20"/>
                <w:szCs w:val="20"/>
              </w:rPr>
              <w:t>,</w:t>
            </w:r>
            <w:r w:rsidR="00A73FF6">
              <w:rPr>
                <w:rFonts w:ascii="Arial" w:hAnsi="Arial" w:cs="Arial"/>
                <w:b/>
                <w:bCs/>
                <w:color w:val="000000"/>
                <w:sz w:val="20"/>
                <w:szCs w:val="20"/>
              </w:rPr>
              <w:t>233</w:t>
            </w:r>
          </w:p>
        </w:tc>
      </w:tr>
    </w:tbl>
    <w:p w:rsidRPr="00A73FF6" w:rsidR="00CB683F" w:rsidP="00CB683F" w:rsidRDefault="00CB683F">
      <w:pPr>
        <w:rPr>
          <w:rFonts w:ascii="Arial" w:hAnsi="Arial" w:cs="Arial"/>
          <w:sz w:val="12"/>
          <w:szCs w:val="24"/>
        </w:rPr>
      </w:pPr>
    </w:p>
    <w:p w:rsidR="00271D15" w:rsidP="00517AD6" w:rsidRDefault="00CB683F">
      <w:pPr>
        <w:rPr>
          <w:rFonts w:ascii="Arial" w:hAnsi="Arial" w:cs="Arial"/>
          <w:sz w:val="24"/>
          <w:szCs w:val="24"/>
        </w:rPr>
      </w:pPr>
      <w:r w:rsidRPr="00203609">
        <w:rPr>
          <w:rFonts w:ascii="Arial" w:hAnsi="Arial" w:cs="Arial"/>
          <w:sz w:val="24"/>
          <w:szCs w:val="24"/>
        </w:rPr>
        <w:t>The allocations would cost £</w:t>
      </w:r>
      <w:r w:rsidR="00A73FF6">
        <w:rPr>
          <w:rFonts w:ascii="Arial" w:hAnsi="Arial" w:cs="Arial"/>
          <w:sz w:val="24"/>
          <w:szCs w:val="24"/>
        </w:rPr>
        <w:t>422.8</w:t>
      </w:r>
      <w:r w:rsidR="00175725">
        <w:rPr>
          <w:rFonts w:ascii="Arial" w:hAnsi="Arial" w:cs="Arial"/>
          <w:sz w:val="24"/>
          <w:szCs w:val="24"/>
        </w:rPr>
        <w:t>09</w:t>
      </w:r>
      <w:r w:rsidR="00A73FF6">
        <w:rPr>
          <w:rFonts w:ascii="Arial" w:hAnsi="Arial" w:cs="Arial"/>
          <w:sz w:val="24"/>
          <w:szCs w:val="24"/>
        </w:rPr>
        <w:t>m</w:t>
      </w:r>
      <w:r w:rsidRPr="00203609" w:rsidR="00EB6AA9">
        <w:rPr>
          <w:rFonts w:ascii="Arial" w:hAnsi="Arial" w:cs="Arial"/>
          <w:sz w:val="24"/>
          <w:szCs w:val="24"/>
        </w:rPr>
        <w:t xml:space="preserve"> </w:t>
      </w:r>
      <w:r w:rsidRPr="00203609">
        <w:rPr>
          <w:rFonts w:ascii="Arial" w:hAnsi="Arial" w:cs="Arial"/>
          <w:sz w:val="24"/>
          <w:szCs w:val="24"/>
        </w:rPr>
        <w:t>which compares with as assumed available resource of £</w:t>
      </w:r>
      <w:r w:rsidR="00A73FF6">
        <w:rPr>
          <w:rFonts w:ascii="Arial" w:hAnsi="Arial" w:cs="Arial"/>
          <w:sz w:val="24"/>
          <w:szCs w:val="24"/>
        </w:rPr>
        <w:t>423.242m</w:t>
      </w:r>
      <w:r w:rsidRPr="00203609">
        <w:rPr>
          <w:rFonts w:ascii="Arial" w:hAnsi="Arial" w:cs="Arial"/>
          <w:sz w:val="24"/>
          <w:szCs w:val="24"/>
        </w:rPr>
        <w:t>, leaving a</w:t>
      </w:r>
      <w:r w:rsidRPr="00203609" w:rsidR="00EB6AA9">
        <w:rPr>
          <w:rFonts w:ascii="Arial" w:hAnsi="Arial" w:cs="Arial"/>
          <w:sz w:val="24"/>
          <w:szCs w:val="24"/>
        </w:rPr>
        <w:t xml:space="preserve">n unallocated balance of </w:t>
      </w:r>
      <w:r w:rsidRPr="00203609">
        <w:rPr>
          <w:rFonts w:ascii="Arial" w:hAnsi="Arial" w:cs="Arial"/>
          <w:sz w:val="24"/>
          <w:szCs w:val="24"/>
        </w:rPr>
        <w:t>£0.</w:t>
      </w:r>
      <w:r w:rsidR="00A73FF6">
        <w:rPr>
          <w:rFonts w:ascii="Arial" w:hAnsi="Arial" w:cs="Arial"/>
          <w:sz w:val="24"/>
          <w:szCs w:val="24"/>
        </w:rPr>
        <w:t>43</w:t>
      </w:r>
      <w:r w:rsidR="00AD0EB3">
        <w:rPr>
          <w:rFonts w:ascii="Arial" w:hAnsi="Arial" w:cs="Arial"/>
          <w:sz w:val="24"/>
          <w:szCs w:val="24"/>
        </w:rPr>
        <w:t>3</w:t>
      </w:r>
      <w:r w:rsidRPr="00203609">
        <w:rPr>
          <w:rFonts w:ascii="Arial" w:hAnsi="Arial" w:cs="Arial"/>
          <w:sz w:val="24"/>
          <w:szCs w:val="24"/>
        </w:rPr>
        <w:t>m</w:t>
      </w:r>
      <w:r w:rsidR="00A73FF6">
        <w:rPr>
          <w:rFonts w:ascii="Arial" w:hAnsi="Arial" w:cs="Arial"/>
          <w:sz w:val="24"/>
          <w:szCs w:val="24"/>
        </w:rPr>
        <w:t xml:space="preserve"> towards other pressures e.g. increases in schools’ rates bills</w:t>
      </w:r>
      <w:r w:rsidRPr="00203609">
        <w:rPr>
          <w:rFonts w:ascii="Arial" w:hAnsi="Arial" w:cs="Arial"/>
          <w:sz w:val="24"/>
          <w:szCs w:val="24"/>
        </w:rPr>
        <w:t>.</w:t>
      </w:r>
      <w:r>
        <w:rPr>
          <w:rFonts w:ascii="Arial" w:hAnsi="Arial" w:cs="Arial"/>
          <w:sz w:val="24"/>
          <w:szCs w:val="24"/>
        </w:rPr>
        <w:t xml:space="preserve"> </w:t>
      </w:r>
    </w:p>
    <w:p w:rsidR="005D4443" w:rsidP="00517AD6" w:rsidRDefault="0043467F">
      <w:pPr>
        <w:rPr>
          <w:rFonts w:ascii="Arial" w:hAnsi="Arial" w:cs="Arial"/>
          <w:sz w:val="24"/>
          <w:szCs w:val="24"/>
        </w:rPr>
      </w:pPr>
      <w:r w:rsidRPr="0043467F">
        <w:rPr>
          <w:noProof/>
          <w:lang w:eastAsia="en-GB"/>
        </w:rPr>
        <w:lastRenderedPageBreak/>
        <w:drawing>
          <wp:inline distT="0" distB="0" distL="0" distR="0">
            <wp:extent cx="6831965" cy="9626885"/>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38298" cy="9635809"/>
                    </a:xfrm>
                    <a:prstGeom prst="rect">
                      <a:avLst/>
                    </a:prstGeom>
                    <a:noFill/>
                    <a:ln>
                      <a:noFill/>
                    </a:ln>
                  </pic:spPr>
                </pic:pic>
              </a:graphicData>
            </a:graphic>
          </wp:inline>
        </w:drawing>
      </w:r>
    </w:p>
    <w:p w:rsidR="00413F84" w:rsidP="00C76FD2" w:rsidRDefault="00C76FD2">
      <w:pPr>
        <w:tabs>
          <w:tab w:val="left" w:pos="9072"/>
        </w:tabs>
        <w:rPr>
          <w:rFonts w:ascii="Arial" w:hAnsi="Arial" w:cs="Arial"/>
          <w:sz w:val="24"/>
          <w:szCs w:val="24"/>
        </w:rPr>
      </w:pPr>
      <w:r w:rsidRPr="00C76FD2">
        <w:rPr>
          <w:rFonts w:ascii="Arial" w:hAnsi="Arial" w:cs="Arial"/>
          <w:b/>
          <w:sz w:val="24"/>
          <w:szCs w:val="24"/>
          <w:u w:val="single"/>
        </w:rPr>
        <w:lastRenderedPageBreak/>
        <w:t>Summary of the Mainstream National Funding Formula</w:t>
      </w:r>
      <w:r>
        <w:rPr>
          <w:rFonts w:ascii="Arial" w:hAnsi="Arial" w:cs="Arial"/>
          <w:sz w:val="24"/>
          <w:szCs w:val="24"/>
        </w:rPr>
        <w:tab/>
      </w:r>
      <w:r w:rsidRPr="00C76FD2">
        <w:rPr>
          <w:rFonts w:ascii="Arial" w:hAnsi="Arial" w:cs="Arial"/>
          <w:b/>
          <w:sz w:val="24"/>
          <w:szCs w:val="24"/>
          <w:u w:val="single"/>
        </w:rPr>
        <w:t>Annexe</w:t>
      </w:r>
    </w:p>
    <w:p w:rsidR="00C76FD2" w:rsidP="00517AD6" w:rsidRDefault="00C76FD2">
      <w:pPr>
        <w:rPr>
          <w:rFonts w:ascii="Arial" w:hAnsi="Arial" w:cs="Arial"/>
          <w:sz w:val="24"/>
          <w:szCs w:val="24"/>
        </w:rPr>
      </w:pPr>
    </w:p>
    <w:p w:rsidRPr="00B7689D" w:rsidR="00B7689D" w:rsidP="00D53892" w:rsidRDefault="00B7689D">
      <w:pPr>
        <w:pStyle w:val="Default"/>
        <w:numPr>
          <w:ilvl w:val="0"/>
          <w:numId w:val="6"/>
        </w:numPr>
        <w:ind w:hanging="720"/>
        <w:rPr>
          <w:b/>
          <w:u w:val="single"/>
        </w:rPr>
      </w:pPr>
      <w:r w:rsidRPr="00B7689D">
        <w:rPr>
          <w:b/>
          <w:u w:val="single"/>
        </w:rPr>
        <w:t>Basic per-pupil funding</w:t>
      </w:r>
    </w:p>
    <w:p w:rsidR="00B7689D" w:rsidP="00B7689D" w:rsidRDefault="00B7689D">
      <w:pPr>
        <w:pStyle w:val="Default"/>
        <w:rPr>
          <w:sz w:val="23"/>
          <w:szCs w:val="23"/>
        </w:rPr>
      </w:pPr>
    </w:p>
    <w:p w:rsidR="00D53892" w:rsidP="00D53892" w:rsidRDefault="00D53892">
      <w:pPr>
        <w:pStyle w:val="Default"/>
        <w:numPr>
          <w:ilvl w:val="1"/>
          <w:numId w:val="6"/>
        </w:numPr>
        <w:ind w:hanging="720"/>
        <w:rPr>
          <w:sz w:val="23"/>
          <w:szCs w:val="23"/>
        </w:rPr>
      </w:pPr>
      <w:r w:rsidRPr="00D53892">
        <w:rPr>
          <w:b/>
          <w:sz w:val="23"/>
          <w:szCs w:val="23"/>
          <w:u w:val="single"/>
        </w:rPr>
        <w:t>AWPU</w:t>
      </w:r>
      <w:r>
        <w:rPr>
          <w:sz w:val="23"/>
          <w:szCs w:val="23"/>
        </w:rPr>
        <w:t xml:space="preserve"> </w:t>
      </w:r>
    </w:p>
    <w:p w:rsidR="002A384E" w:rsidP="00D53892" w:rsidRDefault="002A384E">
      <w:pPr>
        <w:pStyle w:val="Default"/>
        <w:rPr>
          <w:sz w:val="23"/>
          <w:szCs w:val="23"/>
        </w:rPr>
      </w:pPr>
    </w:p>
    <w:p w:rsidRPr="006A3BBA" w:rsidR="00B7689D" w:rsidP="00D53892" w:rsidRDefault="00B7689D">
      <w:pPr>
        <w:pStyle w:val="Default"/>
      </w:pPr>
      <w:r w:rsidRPr="006A3BBA">
        <w:t>The age-weighted pupil unit (AWPU) is the fundamental building block of the national funding formula. This is the basic funding that all pupils attract, different values have been set for primary, key stage 3 and key stage 4 pupils</w:t>
      </w:r>
      <w:r w:rsidRPr="006A3BBA" w:rsidR="0079438F">
        <w:t xml:space="preserve"> (</w:t>
      </w:r>
      <w:r w:rsidRPr="006A3BBA">
        <w:t>£2,747, £3,863 and £4,386 respectively</w:t>
      </w:r>
      <w:r w:rsidRPr="006A3BBA" w:rsidR="0079438F">
        <w:t xml:space="preserve">) and which </w:t>
      </w:r>
      <w:r w:rsidRPr="006A3BBA">
        <w:t>reflect the higher costs that arise in educating older pupils</w:t>
      </w:r>
      <w:r w:rsidRPr="006A3BBA" w:rsidR="0079438F">
        <w:t xml:space="preserve">, </w:t>
      </w:r>
      <w:r w:rsidRPr="006A3BBA">
        <w:t xml:space="preserve">for example, due to the need for more specialist teaching and facilities. Basic per-pupil funding is the largest factor in the </w:t>
      </w:r>
      <w:r w:rsidRPr="006A3BBA" w:rsidR="0079438F">
        <w:t>NFF</w:t>
      </w:r>
      <w:r w:rsidRPr="006A3BBA">
        <w:t xml:space="preserve">, allocating 72.9% of the total schools block. </w:t>
      </w:r>
    </w:p>
    <w:p w:rsidR="00C76FD2" w:rsidP="00517AD6" w:rsidRDefault="00C76FD2">
      <w:pPr>
        <w:rPr>
          <w:rFonts w:ascii="Arial" w:hAnsi="Arial" w:cs="Arial"/>
          <w:sz w:val="24"/>
          <w:szCs w:val="24"/>
        </w:rPr>
      </w:pPr>
    </w:p>
    <w:p w:rsidR="00B7689D" w:rsidP="00517AD6" w:rsidRDefault="00D53892">
      <w:pPr>
        <w:rPr>
          <w:rFonts w:ascii="Arial" w:hAnsi="Arial" w:cs="Arial"/>
          <w:b/>
          <w:sz w:val="24"/>
          <w:szCs w:val="24"/>
          <w:u w:val="single"/>
        </w:rPr>
      </w:pPr>
      <w:r w:rsidRPr="00D53892">
        <w:rPr>
          <w:rFonts w:ascii="Arial" w:hAnsi="Arial" w:cs="Arial"/>
          <w:b/>
          <w:sz w:val="24"/>
          <w:szCs w:val="24"/>
        </w:rPr>
        <w:t>1.2</w:t>
      </w:r>
      <w:r w:rsidRPr="00D53892">
        <w:rPr>
          <w:rFonts w:ascii="Arial" w:hAnsi="Arial" w:cs="Arial"/>
          <w:b/>
          <w:sz w:val="24"/>
          <w:szCs w:val="24"/>
        </w:rPr>
        <w:tab/>
      </w:r>
      <w:r w:rsidRPr="00B7689D" w:rsidR="00B7689D">
        <w:rPr>
          <w:rFonts w:ascii="Arial" w:hAnsi="Arial" w:cs="Arial"/>
          <w:b/>
          <w:sz w:val="24"/>
          <w:szCs w:val="24"/>
          <w:u w:val="single"/>
        </w:rPr>
        <w:t>Minimum Per pupil</w:t>
      </w:r>
    </w:p>
    <w:p w:rsidR="00B7689D" w:rsidP="00B7689D" w:rsidRDefault="00B7689D">
      <w:pPr>
        <w:pStyle w:val="Default"/>
        <w:rPr>
          <w:sz w:val="23"/>
          <w:szCs w:val="23"/>
        </w:rPr>
      </w:pPr>
    </w:p>
    <w:p w:rsidRPr="006A3BBA" w:rsidR="00B7689D" w:rsidP="00B7689D" w:rsidRDefault="00B7689D">
      <w:pPr>
        <w:pStyle w:val="Default"/>
      </w:pPr>
      <w:r w:rsidRPr="006A3BBA">
        <w:t>A new factor driven by responses to the consultation about the importance of basic per-pupil funding, particularly for those schools where few pupils attract funding through the additional needs factors.</w:t>
      </w:r>
      <w:r w:rsidRPr="006A3BBA" w:rsidR="002A384E">
        <w:t xml:space="preserve"> </w:t>
      </w:r>
      <w:r w:rsidRPr="006A3BBA">
        <w:t>This factor will ensure that the NFF provides a minimum per pupil allocation for primary and secondary schools as follows:</w:t>
      </w:r>
    </w:p>
    <w:p w:rsidR="00B7689D" w:rsidP="00B7689D" w:rsidRDefault="00B7689D">
      <w:pPr>
        <w:pStyle w:val="Default"/>
        <w:rPr>
          <w:sz w:val="23"/>
          <w:szCs w:val="23"/>
        </w:rPr>
      </w:pPr>
    </w:p>
    <w:tbl>
      <w:tblPr>
        <w:tblStyle w:val="TableGrid"/>
        <w:tblW w:w="0" w:type="auto"/>
        <w:tblLook w:val="04A0" w:firstRow="1" w:lastRow="0" w:firstColumn="1" w:lastColumn="0" w:noHBand="0" w:noVBand="1"/>
      </w:tblPr>
      <w:tblGrid>
        <w:gridCol w:w="2067"/>
        <w:gridCol w:w="2067"/>
        <w:gridCol w:w="2068"/>
      </w:tblGrid>
      <w:tr w:rsidR="00B7689D" w:rsidTr="00B7689D">
        <w:tc>
          <w:tcPr>
            <w:tcW w:w="2067" w:type="dxa"/>
          </w:tcPr>
          <w:p w:rsidR="00B7689D" w:rsidP="00B7689D" w:rsidRDefault="00B7689D">
            <w:pPr>
              <w:pStyle w:val="Default"/>
              <w:rPr>
                <w:sz w:val="23"/>
                <w:szCs w:val="23"/>
              </w:rPr>
            </w:pPr>
          </w:p>
        </w:tc>
        <w:tc>
          <w:tcPr>
            <w:tcW w:w="2067" w:type="dxa"/>
          </w:tcPr>
          <w:p w:rsidR="00B7689D" w:rsidP="00B7689D" w:rsidRDefault="00B7689D">
            <w:pPr>
              <w:pStyle w:val="Default"/>
              <w:jc w:val="right"/>
              <w:rPr>
                <w:sz w:val="23"/>
                <w:szCs w:val="23"/>
              </w:rPr>
            </w:pPr>
            <w:r>
              <w:rPr>
                <w:sz w:val="23"/>
                <w:szCs w:val="23"/>
              </w:rPr>
              <w:t>Primary</w:t>
            </w:r>
          </w:p>
        </w:tc>
        <w:tc>
          <w:tcPr>
            <w:tcW w:w="2068" w:type="dxa"/>
          </w:tcPr>
          <w:p w:rsidR="00B7689D" w:rsidP="00B7689D" w:rsidRDefault="00B7689D">
            <w:pPr>
              <w:pStyle w:val="Default"/>
              <w:jc w:val="right"/>
              <w:rPr>
                <w:sz w:val="23"/>
                <w:szCs w:val="23"/>
              </w:rPr>
            </w:pPr>
            <w:r>
              <w:rPr>
                <w:sz w:val="23"/>
                <w:szCs w:val="23"/>
              </w:rPr>
              <w:t>Secondary</w:t>
            </w:r>
          </w:p>
        </w:tc>
      </w:tr>
      <w:tr w:rsidR="00B7689D" w:rsidTr="00B7689D">
        <w:tc>
          <w:tcPr>
            <w:tcW w:w="2067" w:type="dxa"/>
          </w:tcPr>
          <w:p w:rsidR="00B7689D" w:rsidP="00B7689D" w:rsidRDefault="00B7689D">
            <w:pPr>
              <w:pStyle w:val="Default"/>
              <w:rPr>
                <w:sz w:val="23"/>
                <w:szCs w:val="23"/>
              </w:rPr>
            </w:pPr>
            <w:r>
              <w:rPr>
                <w:sz w:val="23"/>
                <w:szCs w:val="23"/>
              </w:rPr>
              <w:t>2018-19</w:t>
            </w:r>
          </w:p>
        </w:tc>
        <w:tc>
          <w:tcPr>
            <w:tcW w:w="2067" w:type="dxa"/>
          </w:tcPr>
          <w:p w:rsidR="00B7689D" w:rsidP="00B7689D" w:rsidRDefault="00B7689D">
            <w:pPr>
              <w:pStyle w:val="Default"/>
              <w:jc w:val="right"/>
              <w:rPr>
                <w:sz w:val="23"/>
                <w:szCs w:val="23"/>
              </w:rPr>
            </w:pPr>
            <w:r>
              <w:rPr>
                <w:sz w:val="23"/>
                <w:szCs w:val="23"/>
              </w:rPr>
              <w:t>£3,300</w:t>
            </w:r>
          </w:p>
        </w:tc>
        <w:tc>
          <w:tcPr>
            <w:tcW w:w="2068" w:type="dxa"/>
          </w:tcPr>
          <w:p w:rsidR="00B7689D" w:rsidP="006F3E68" w:rsidRDefault="00B7689D">
            <w:pPr>
              <w:pStyle w:val="Default"/>
              <w:jc w:val="right"/>
              <w:rPr>
                <w:sz w:val="23"/>
                <w:szCs w:val="23"/>
              </w:rPr>
            </w:pPr>
            <w:r>
              <w:rPr>
                <w:sz w:val="23"/>
                <w:szCs w:val="23"/>
              </w:rPr>
              <w:t>£4,</w:t>
            </w:r>
            <w:r w:rsidR="006F3E68">
              <w:rPr>
                <w:sz w:val="23"/>
                <w:szCs w:val="23"/>
              </w:rPr>
              <w:t>6</w:t>
            </w:r>
            <w:r>
              <w:rPr>
                <w:sz w:val="23"/>
                <w:szCs w:val="23"/>
              </w:rPr>
              <w:t>00</w:t>
            </w:r>
          </w:p>
        </w:tc>
      </w:tr>
      <w:tr w:rsidR="00B7689D" w:rsidTr="00B7689D">
        <w:tc>
          <w:tcPr>
            <w:tcW w:w="2067" w:type="dxa"/>
          </w:tcPr>
          <w:p w:rsidR="00B7689D" w:rsidP="00B7689D" w:rsidRDefault="00B7689D">
            <w:pPr>
              <w:pStyle w:val="Default"/>
              <w:rPr>
                <w:sz w:val="23"/>
                <w:szCs w:val="23"/>
              </w:rPr>
            </w:pPr>
            <w:r>
              <w:rPr>
                <w:sz w:val="23"/>
                <w:szCs w:val="23"/>
              </w:rPr>
              <w:t>2019-20</w:t>
            </w:r>
          </w:p>
        </w:tc>
        <w:tc>
          <w:tcPr>
            <w:tcW w:w="2067" w:type="dxa"/>
          </w:tcPr>
          <w:p w:rsidR="00B7689D" w:rsidP="00B7689D" w:rsidRDefault="00B7689D">
            <w:pPr>
              <w:pStyle w:val="Default"/>
              <w:jc w:val="right"/>
              <w:rPr>
                <w:sz w:val="23"/>
                <w:szCs w:val="23"/>
              </w:rPr>
            </w:pPr>
            <w:r>
              <w:rPr>
                <w:sz w:val="23"/>
                <w:szCs w:val="23"/>
              </w:rPr>
              <w:t>£3,500</w:t>
            </w:r>
          </w:p>
        </w:tc>
        <w:tc>
          <w:tcPr>
            <w:tcW w:w="2068" w:type="dxa"/>
          </w:tcPr>
          <w:p w:rsidR="00B7689D" w:rsidP="00B7689D" w:rsidRDefault="00B7689D">
            <w:pPr>
              <w:pStyle w:val="Default"/>
              <w:jc w:val="right"/>
              <w:rPr>
                <w:sz w:val="23"/>
                <w:szCs w:val="23"/>
              </w:rPr>
            </w:pPr>
            <w:r>
              <w:rPr>
                <w:sz w:val="23"/>
                <w:szCs w:val="23"/>
              </w:rPr>
              <w:t>£4,800</w:t>
            </w:r>
          </w:p>
        </w:tc>
      </w:tr>
    </w:tbl>
    <w:p w:rsidR="00B7689D" w:rsidP="00B7689D" w:rsidRDefault="00B7689D">
      <w:pPr>
        <w:pStyle w:val="Default"/>
        <w:rPr>
          <w:sz w:val="23"/>
          <w:szCs w:val="23"/>
        </w:rPr>
      </w:pPr>
    </w:p>
    <w:p w:rsidRPr="006A3BBA" w:rsidR="00B7689D" w:rsidP="00B7689D" w:rsidRDefault="00B7689D">
      <w:pPr>
        <w:pStyle w:val="Default"/>
      </w:pPr>
      <w:r w:rsidRPr="006A3BBA">
        <w:t xml:space="preserve">Entitlement to the funding under the NFF is calculated by adding together the pupil led </w:t>
      </w:r>
      <w:r w:rsidRPr="006A3BBA" w:rsidR="00443577">
        <w:t xml:space="preserve">allocations </w:t>
      </w:r>
      <w:r w:rsidRPr="006A3BBA">
        <w:t xml:space="preserve">(basic per pupil (AWPU), deprivation, low prior attainment, English as an Additional Language) </w:t>
      </w:r>
      <w:r w:rsidRPr="006A3BBA" w:rsidR="00443577">
        <w:t xml:space="preserve">to </w:t>
      </w:r>
      <w:r w:rsidRPr="006A3BBA">
        <w:t xml:space="preserve">the school led elements (lump sum allowance and sparsity) and dividing the total by the number of children on roll (all pre 16). If the resultant per pupil funding level is less than the </w:t>
      </w:r>
      <w:r w:rsidRPr="006A3BBA" w:rsidR="006F3E68">
        <w:t xml:space="preserve">amounts </w:t>
      </w:r>
      <w:r w:rsidRPr="006A3BBA">
        <w:t xml:space="preserve">in the above table </w:t>
      </w:r>
      <w:r w:rsidRPr="006A3BBA" w:rsidR="00443577">
        <w:t>for the relevant year</w:t>
      </w:r>
      <w:r w:rsidRPr="006A3BBA" w:rsidR="006F3E68">
        <w:t>,</w:t>
      </w:r>
      <w:r w:rsidRPr="006A3BBA" w:rsidR="00443577">
        <w:t xml:space="preserve"> </w:t>
      </w:r>
      <w:r w:rsidRPr="006A3BBA">
        <w:t xml:space="preserve">the NFF allocation is increased to </w:t>
      </w:r>
      <w:r w:rsidRPr="006A3BBA" w:rsidR="006F3E68">
        <w:t xml:space="preserve">raise </w:t>
      </w:r>
      <w:r w:rsidRPr="006A3BBA">
        <w:t>it to the required minimum value.</w:t>
      </w:r>
    </w:p>
    <w:p w:rsidR="00B7689D" w:rsidP="00B7689D" w:rsidRDefault="00B7689D">
      <w:pPr>
        <w:pStyle w:val="Default"/>
        <w:rPr>
          <w:sz w:val="23"/>
          <w:szCs w:val="23"/>
        </w:rPr>
      </w:pPr>
    </w:p>
    <w:p w:rsidRPr="00412F2D" w:rsidR="00B7689D" w:rsidP="00D53892" w:rsidRDefault="00D53892">
      <w:pPr>
        <w:pStyle w:val="Default"/>
        <w:numPr>
          <w:ilvl w:val="0"/>
          <w:numId w:val="6"/>
        </w:numPr>
        <w:ind w:hanging="720"/>
        <w:rPr>
          <w:b/>
          <w:sz w:val="23"/>
          <w:szCs w:val="23"/>
          <w:u w:val="single"/>
        </w:rPr>
      </w:pPr>
      <w:r w:rsidRPr="00412F2D">
        <w:rPr>
          <w:b/>
          <w:sz w:val="23"/>
          <w:szCs w:val="23"/>
          <w:u w:val="single"/>
        </w:rPr>
        <w:t>Additional Needs Funding</w:t>
      </w:r>
    </w:p>
    <w:p w:rsidR="00B7689D" w:rsidP="00B7689D" w:rsidRDefault="00B7689D">
      <w:pPr>
        <w:pStyle w:val="Default"/>
        <w:rPr>
          <w:sz w:val="23"/>
          <w:szCs w:val="23"/>
        </w:rPr>
      </w:pPr>
    </w:p>
    <w:p w:rsidRPr="00EA4C45" w:rsidR="00B45E55" w:rsidP="00B7689D" w:rsidRDefault="00B45E55">
      <w:pPr>
        <w:pStyle w:val="Default"/>
        <w:rPr>
          <w:b/>
          <w:sz w:val="23"/>
          <w:szCs w:val="23"/>
        </w:rPr>
      </w:pPr>
      <w:r w:rsidRPr="00EA4C45">
        <w:rPr>
          <w:b/>
          <w:sz w:val="23"/>
          <w:szCs w:val="23"/>
        </w:rPr>
        <w:t>2.1</w:t>
      </w:r>
      <w:r w:rsidRPr="00EA4C45">
        <w:rPr>
          <w:b/>
          <w:sz w:val="23"/>
          <w:szCs w:val="23"/>
        </w:rPr>
        <w:tab/>
      </w:r>
      <w:r w:rsidRPr="00EA4C45">
        <w:rPr>
          <w:b/>
          <w:sz w:val="23"/>
          <w:szCs w:val="23"/>
          <w:u w:val="single"/>
        </w:rPr>
        <w:t>Deprivation</w:t>
      </w:r>
    </w:p>
    <w:p w:rsidR="00B7689D" w:rsidP="00B7689D" w:rsidRDefault="00B7689D">
      <w:pPr>
        <w:pStyle w:val="Default"/>
        <w:rPr>
          <w:sz w:val="23"/>
          <w:szCs w:val="23"/>
        </w:rPr>
      </w:pPr>
    </w:p>
    <w:p w:rsidRPr="006A3BBA" w:rsidR="00B45E55" w:rsidP="00B45E55" w:rsidRDefault="00B45E55">
      <w:pPr>
        <w:pStyle w:val="Default"/>
      </w:pPr>
      <w:r w:rsidRPr="006A3BBA">
        <w:t>The NFF allocate</w:t>
      </w:r>
      <w:r w:rsidRPr="006A3BBA" w:rsidR="00237F5C">
        <w:t>s</w:t>
      </w:r>
      <w:r w:rsidRPr="006A3BBA">
        <w:t xml:space="preserve"> funding via two indicators, eligibility for free school meals (FSM) (where this will be current eligibility and historic eligibility through the Ever6 measure), and the level of deprivation in the postcode where the pupil lives (measured using the Income Deprivation Affecting Children Index, IDACI).</w:t>
      </w:r>
      <w:r w:rsidRPr="006A3BBA" w:rsidR="00237F5C">
        <w:t xml:space="preserve"> </w:t>
      </w:r>
      <w:r w:rsidRPr="006A3BBA">
        <w:t xml:space="preserve">Pupils attracting funding through the IDACI factor are divided into </w:t>
      </w:r>
      <w:r w:rsidR="00DA19F7">
        <w:t>7</w:t>
      </w:r>
      <w:r w:rsidRPr="006A3BBA">
        <w:t xml:space="preserve"> bands, reflecting the relative levels of deprivation of the areas they live in (bands A to </w:t>
      </w:r>
      <w:r w:rsidR="00DA19F7">
        <w:t>G</w:t>
      </w:r>
      <w:r w:rsidRPr="006A3BBA">
        <w:t>, with band A representing the most deprived areas)</w:t>
      </w:r>
      <w:r w:rsidRPr="006A3BBA" w:rsidR="00237F5C">
        <w:t>, the multipliers reflect these relativities.</w:t>
      </w:r>
    </w:p>
    <w:p w:rsidR="00237F5C" w:rsidP="00B45E55" w:rsidRDefault="00237F5C">
      <w:pPr>
        <w:pStyle w:val="Default"/>
        <w:rPr>
          <w:sz w:val="23"/>
          <w:szCs w:val="23"/>
        </w:rPr>
      </w:pPr>
    </w:p>
    <w:tbl>
      <w:tblPr>
        <w:tblStyle w:val="TableGrid"/>
        <w:tblW w:w="5333" w:type="dxa"/>
        <w:tblInd w:w="-5" w:type="dxa"/>
        <w:tblLayout w:type="fixed"/>
        <w:tblLook w:val="04A0" w:firstRow="1" w:lastRow="0" w:firstColumn="1" w:lastColumn="0" w:noHBand="0" w:noVBand="1"/>
      </w:tblPr>
      <w:tblGrid>
        <w:gridCol w:w="2977"/>
        <w:gridCol w:w="2356"/>
      </w:tblGrid>
      <w:tr w:rsidRPr="00C6420E" w:rsidR="003E0481" w:rsidTr="003E0481">
        <w:tc>
          <w:tcPr>
            <w:tcW w:w="2977" w:type="dxa"/>
            <w:vAlign w:val="bottom"/>
          </w:tcPr>
          <w:p w:rsidRPr="00C6420E" w:rsidR="003E0481" w:rsidP="003E0481" w:rsidRDefault="003E0481">
            <w:pPr>
              <w:ind w:firstLine="33" w:firstLineChars="15"/>
              <w:rPr>
                <w:rFonts w:ascii="Arial" w:hAnsi="Arial" w:cs="Arial"/>
                <w:color w:val="000000"/>
              </w:rPr>
            </w:pPr>
            <w:r>
              <w:rPr>
                <w:rFonts w:ascii="Arial" w:hAnsi="Arial" w:cs="Arial"/>
                <w:color w:val="000000"/>
              </w:rPr>
              <w:t>IDACI Band</w:t>
            </w:r>
          </w:p>
        </w:tc>
        <w:tc>
          <w:tcPr>
            <w:tcW w:w="2356" w:type="dxa"/>
            <w:vAlign w:val="center"/>
          </w:tcPr>
          <w:p w:rsidRPr="00A727D9" w:rsidR="003E0481" w:rsidP="00237F5C" w:rsidRDefault="003E0481">
            <w:pPr>
              <w:jc w:val="right"/>
              <w:rPr>
                <w:rFonts w:ascii="Arial" w:hAnsi="Arial" w:cs="Arial"/>
              </w:rPr>
            </w:pPr>
            <w:r>
              <w:rPr>
                <w:rFonts w:ascii="Arial" w:hAnsi="Arial" w:cs="Arial"/>
              </w:rPr>
              <w:t>NFF multiplier</w:t>
            </w:r>
          </w:p>
        </w:tc>
      </w:tr>
      <w:tr w:rsidRPr="00C6420E" w:rsidR="00237F5C" w:rsidTr="003E0481">
        <w:tc>
          <w:tcPr>
            <w:tcW w:w="2977" w:type="dxa"/>
            <w:vAlign w:val="bottom"/>
          </w:tcPr>
          <w:p w:rsidRPr="00C6420E" w:rsidR="00237F5C" w:rsidP="00237F5C" w:rsidRDefault="00A727D9">
            <w:pPr>
              <w:ind w:firstLine="220" w:firstLineChars="100"/>
              <w:rPr>
                <w:rFonts w:ascii="Arial" w:hAnsi="Arial" w:cs="Arial"/>
                <w:color w:val="000000"/>
              </w:rPr>
            </w:pPr>
            <w:r>
              <w:rPr>
                <w:rFonts w:ascii="Arial" w:hAnsi="Arial" w:cs="Arial"/>
                <w:color w:val="000000"/>
              </w:rPr>
              <w:t xml:space="preserve">Band </w:t>
            </w:r>
            <w:r w:rsidRPr="00C6420E" w:rsidR="00237F5C">
              <w:rPr>
                <w:rFonts w:ascii="Arial" w:hAnsi="Arial" w:cs="Arial"/>
                <w:color w:val="000000"/>
              </w:rPr>
              <w:t>A</w:t>
            </w:r>
          </w:p>
        </w:tc>
        <w:tc>
          <w:tcPr>
            <w:tcW w:w="2356" w:type="dxa"/>
            <w:vAlign w:val="center"/>
          </w:tcPr>
          <w:p w:rsidRPr="00A727D9" w:rsidR="00237F5C" w:rsidP="00237F5C" w:rsidRDefault="00A727D9">
            <w:pPr>
              <w:jc w:val="right"/>
              <w:rPr>
                <w:rFonts w:ascii="Arial" w:hAnsi="Arial" w:cs="Arial"/>
              </w:rPr>
            </w:pPr>
            <w:r w:rsidRPr="00A727D9">
              <w:rPr>
                <w:rFonts w:ascii="Arial" w:hAnsi="Arial" w:cs="Arial"/>
              </w:rPr>
              <w:t>£</w:t>
            </w:r>
            <w:r w:rsidRPr="00A727D9" w:rsidR="00237F5C">
              <w:rPr>
                <w:rFonts w:ascii="Arial" w:hAnsi="Arial" w:cs="Arial"/>
              </w:rPr>
              <w:t>575</w:t>
            </w:r>
          </w:p>
        </w:tc>
      </w:tr>
      <w:tr w:rsidRPr="00C6420E" w:rsidR="00237F5C" w:rsidTr="003E0481">
        <w:tc>
          <w:tcPr>
            <w:tcW w:w="2977" w:type="dxa"/>
            <w:vAlign w:val="bottom"/>
          </w:tcPr>
          <w:p w:rsidRPr="00C6420E" w:rsidR="00237F5C" w:rsidP="00237F5C" w:rsidRDefault="00237F5C">
            <w:pPr>
              <w:ind w:firstLine="220" w:firstLineChars="100"/>
              <w:rPr>
                <w:rFonts w:ascii="Arial" w:hAnsi="Arial" w:cs="Arial"/>
                <w:color w:val="000000"/>
              </w:rPr>
            </w:pPr>
            <w:r w:rsidRPr="00C6420E">
              <w:rPr>
                <w:rFonts w:ascii="Arial" w:hAnsi="Arial" w:cs="Arial"/>
                <w:color w:val="000000"/>
              </w:rPr>
              <w:t>B</w:t>
            </w:r>
            <w:r w:rsidR="00A727D9">
              <w:rPr>
                <w:rFonts w:ascii="Arial" w:hAnsi="Arial" w:cs="Arial"/>
                <w:color w:val="000000"/>
              </w:rPr>
              <w:t>and B</w:t>
            </w:r>
          </w:p>
        </w:tc>
        <w:tc>
          <w:tcPr>
            <w:tcW w:w="2356" w:type="dxa"/>
            <w:vAlign w:val="bottom"/>
          </w:tcPr>
          <w:p w:rsidRPr="00A727D9" w:rsidR="00237F5C" w:rsidP="00237F5C" w:rsidRDefault="00A727D9">
            <w:pPr>
              <w:jc w:val="right"/>
              <w:rPr>
                <w:rFonts w:ascii="Arial" w:hAnsi="Arial" w:cs="Arial"/>
              </w:rPr>
            </w:pPr>
            <w:r w:rsidRPr="00A727D9">
              <w:rPr>
                <w:rFonts w:ascii="Arial" w:hAnsi="Arial" w:cs="Arial"/>
              </w:rPr>
              <w:t>£</w:t>
            </w:r>
            <w:r w:rsidRPr="00A727D9" w:rsidR="00237F5C">
              <w:rPr>
                <w:rFonts w:ascii="Arial" w:hAnsi="Arial" w:cs="Arial"/>
              </w:rPr>
              <w:t>420</w:t>
            </w:r>
          </w:p>
        </w:tc>
      </w:tr>
      <w:tr w:rsidRPr="00C6420E" w:rsidR="00237F5C" w:rsidTr="003E0481">
        <w:tc>
          <w:tcPr>
            <w:tcW w:w="2977" w:type="dxa"/>
            <w:vAlign w:val="bottom"/>
          </w:tcPr>
          <w:p w:rsidRPr="00C6420E" w:rsidR="00237F5C" w:rsidP="00237F5C" w:rsidRDefault="00A727D9">
            <w:pPr>
              <w:ind w:firstLine="220" w:firstLineChars="100"/>
              <w:rPr>
                <w:rFonts w:ascii="Arial" w:hAnsi="Arial" w:cs="Arial"/>
                <w:color w:val="000000"/>
              </w:rPr>
            </w:pPr>
            <w:r>
              <w:rPr>
                <w:rFonts w:ascii="Arial" w:hAnsi="Arial" w:cs="Arial"/>
                <w:color w:val="000000"/>
              </w:rPr>
              <w:t>Band C</w:t>
            </w:r>
          </w:p>
        </w:tc>
        <w:tc>
          <w:tcPr>
            <w:tcW w:w="2356" w:type="dxa"/>
          </w:tcPr>
          <w:p w:rsidRPr="00A727D9" w:rsidR="00237F5C" w:rsidP="00237F5C" w:rsidRDefault="00A727D9">
            <w:pPr>
              <w:jc w:val="right"/>
              <w:rPr>
                <w:rFonts w:ascii="Arial" w:hAnsi="Arial" w:cs="Arial"/>
              </w:rPr>
            </w:pPr>
            <w:r w:rsidRPr="00A727D9">
              <w:rPr>
                <w:rFonts w:ascii="Arial" w:hAnsi="Arial" w:cs="Arial"/>
              </w:rPr>
              <w:t>£</w:t>
            </w:r>
            <w:r w:rsidRPr="00A727D9" w:rsidR="00237F5C">
              <w:rPr>
                <w:rFonts w:ascii="Arial" w:hAnsi="Arial" w:cs="Arial"/>
              </w:rPr>
              <w:t>390</w:t>
            </w:r>
          </w:p>
        </w:tc>
      </w:tr>
      <w:tr w:rsidRPr="00C6420E" w:rsidR="00237F5C" w:rsidTr="003E0481">
        <w:tc>
          <w:tcPr>
            <w:tcW w:w="2977" w:type="dxa"/>
            <w:vAlign w:val="bottom"/>
          </w:tcPr>
          <w:p w:rsidRPr="00C6420E" w:rsidR="00237F5C" w:rsidP="00237F5C" w:rsidRDefault="00A727D9">
            <w:pPr>
              <w:ind w:firstLine="220" w:firstLineChars="100"/>
              <w:rPr>
                <w:rFonts w:ascii="Arial" w:hAnsi="Arial" w:cs="Arial"/>
                <w:color w:val="000000"/>
              </w:rPr>
            </w:pPr>
            <w:r>
              <w:rPr>
                <w:rFonts w:ascii="Arial" w:hAnsi="Arial" w:cs="Arial"/>
                <w:color w:val="000000"/>
              </w:rPr>
              <w:t>Band D</w:t>
            </w:r>
          </w:p>
        </w:tc>
        <w:tc>
          <w:tcPr>
            <w:tcW w:w="2356" w:type="dxa"/>
            <w:vAlign w:val="bottom"/>
          </w:tcPr>
          <w:p w:rsidRPr="00A727D9" w:rsidR="00237F5C" w:rsidP="00237F5C" w:rsidRDefault="00A727D9">
            <w:pPr>
              <w:jc w:val="right"/>
              <w:rPr>
                <w:rFonts w:ascii="Arial" w:hAnsi="Arial" w:cs="Arial"/>
              </w:rPr>
            </w:pPr>
            <w:r w:rsidRPr="00A727D9">
              <w:rPr>
                <w:rFonts w:ascii="Arial" w:hAnsi="Arial" w:cs="Arial"/>
              </w:rPr>
              <w:t>£</w:t>
            </w:r>
            <w:r w:rsidRPr="00A727D9" w:rsidR="00237F5C">
              <w:rPr>
                <w:rFonts w:ascii="Arial" w:hAnsi="Arial" w:cs="Arial"/>
              </w:rPr>
              <w:t>360</w:t>
            </w:r>
          </w:p>
        </w:tc>
      </w:tr>
      <w:tr w:rsidRPr="00C6420E" w:rsidR="00237F5C" w:rsidTr="003E0481">
        <w:tc>
          <w:tcPr>
            <w:tcW w:w="2977" w:type="dxa"/>
            <w:vAlign w:val="bottom"/>
          </w:tcPr>
          <w:p w:rsidRPr="00C6420E" w:rsidR="00237F5C" w:rsidP="00A727D9" w:rsidRDefault="00A727D9">
            <w:pPr>
              <w:ind w:firstLine="220" w:firstLineChars="100"/>
              <w:rPr>
                <w:rFonts w:ascii="Arial" w:hAnsi="Arial" w:cs="Arial"/>
                <w:color w:val="000000"/>
              </w:rPr>
            </w:pPr>
            <w:r>
              <w:rPr>
                <w:rFonts w:ascii="Arial" w:hAnsi="Arial" w:cs="Arial"/>
                <w:color w:val="000000"/>
              </w:rPr>
              <w:t>Band E</w:t>
            </w:r>
          </w:p>
        </w:tc>
        <w:tc>
          <w:tcPr>
            <w:tcW w:w="2356" w:type="dxa"/>
            <w:vAlign w:val="bottom"/>
          </w:tcPr>
          <w:p w:rsidRPr="00A727D9" w:rsidR="00237F5C" w:rsidP="00237F5C" w:rsidRDefault="00A727D9">
            <w:pPr>
              <w:jc w:val="right"/>
              <w:rPr>
                <w:rFonts w:ascii="Arial" w:hAnsi="Arial" w:cs="Arial"/>
              </w:rPr>
            </w:pPr>
            <w:r w:rsidRPr="00A727D9">
              <w:rPr>
                <w:rFonts w:ascii="Arial" w:hAnsi="Arial" w:cs="Arial"/>
              </w:rPr>
              <w:t>£</w:t>
            </w:r>
            <w:r w:rsidRPr="00A727D9" w:rsidR="00237F5C">
              <w:rPr>
                <w:rFonts w:ascii="Arial" w:hAnsi="Arial" w:cs="Arial"/>
              </w:rPr>
              <w:t>240</w:t>
            </w:r>
          </w:p>
        </w:tc>
      </w:tr>
      <w:tr w:rsidRPr="00C6420E" w:rsidR="00237F5C" w:rsidTr="003E0481">
        <w:tc>
          <w:tcPr>
            <w:tcW w:w="2977" w:type="dxa"/>
            <w:vAlign w:val="bottom"/>
          </w:tcPr>
          <w:p w:rsidRPr="00C6420E" w:rsidR="00237F5C" w:rsidP="00A727D9" w:rsidRDefault="00A727D9">
            <w:pPr>
              <w:ind w:firstLine="220" w:firstLineChars="100"/>
              <w:rPr>
                <w:rFonts w:ascii="Arial" w:hAnsi="Arial" w:cs="Arial"/>
                <w:color w:val="000000"/>
              </w:rPr>
            </w:pPr>
            <w:r>
              <w:rPr>
                <w:rFonts w:ascii="Arial" w:hAnsi="Arial" w:cs="Arial"/>
                <w:color w:val="000000"/>
              </w:rPr>
              <w:t>Band F</w:t>
            </w:r>
          </w:p>
        </w:tc>
        <w:tc>
          <w:tcPr>
            <w:tcW w:w="2356" w:type="dxa"/>
            <w:vAlign w:val="bottom"/>
          </w:tcPr>
          <w:p w:rsidRPr="00A727D9" w:rsidR="00237F5C" w:rsidP="00237F5C" w:rsidRDefault="00A727D9">
            <w:pPr>
              <w:jc w:val="right"/>
              <w:rPr>
                <w:rFonts w:ascii="Arial" w:hAnsi="Arial" w:cs="Arial"/>
              </w:rPr>
            </w:pPr>
            <w:r w:rsidRPr="00A727D9">
              <w:rPr>
                <w:rFonts w:ascii="Arial" w:hAnsi="Arial" w:cs="Arial"/>
              </w:rPr>
              <w:t>£</w:t>
            </w:r>
            <w:r w:rsidRPr="00A727D9" w:rsidR="00237F5C">
              <w:rPr>
                <w:rFonts w:ascii="Arial" w:hAnsi="Arial" w:cs="Arial"/>
              </w:rPr>
              <w:t>200</w:t>
            </w:r>
          </w:p>
        </w:tc>
      </w:tr>
      <w:tr w:rsidRPr="00C6420E" w:rsidR="00DA19F7" w:rsidTr="003E0481">
        <w:tc>
          <w:tcPr>
            <w:tcW w:w="2977" w:type="dxa"/>
            <w:vAlign w:val="bottom"/>
          </w:tcPr>
          <w:p w:rsidRPr="00C6420E" w:rsidR="00DA19F7" w:rsidP="00DA19F7" w:rsidRDefault="00DA19F7">
            <w:pPr>
              <w:ind w:firstLine="220" w:firstLineChars="100"/>
              <w:rPr>
                <w:rFonts w:ascii="Arial" w:hAnsi="Arial" w:cs="Arial"/>
                <w:color w:val="000000"/>
              </w:rPr>
            </w:pPr>
            <w:r>
              <w:rPr>
                <w:rFonts w:ascii="Arial" w:hAnsi="Arial" w:cs="Arial"/>
                <w:color w:val="000000"/>
              </w:rPr>
              <w:t>Band G</w:t>
            </w:r>
          </w:p>
        </w:tc>
        <w:tc>
          <w:tcPr>
            <w:tcW w:w="2356" w:type="dxa"/>
            <w:vAlign w:val="bottom"/>
          </w:tcPr>
          <w:p w:rsidRPr="00A727D9" w:rsidR="00DA19F7" w:rsidP="00DA19F7" w:rsidRDefault="00DA19F7">
            <w:pPr>
              <w:jc w:val="right"/>
              <w:rPr>
                <w:rFonts w:ascii="Arial" w:hAnsi="Arial" w:cs="Arial"/>
              </w:rPr>
            </w:pPr>
            <w:r w:rsidRPr="00A727D9">
              <w:rPr>
                <w:rFonts w:ascii="Arial" w:hAnsi="Arial" w:cs="Arial"/>
              </w:rPr>
              <w:t>£0</w:t>
            </w:r>
          </w:p>
        </w:tc>
      </w:tr>
    </w:tbl>
    <w:p w:rsidR="00237F5C" w:rsidP="00B45E55" w:rsidRDefault="00237F5C">
      <w:pPr>
        <w:pStyle w:val="Default"/>
        <w:rPr>
          <w:sz w:val="23"/>
          <w:szCs w:val="23"/>
        </w:rPr>
      </w:pPr>
    </w:p>
    <w:p w:rsidR="00237F5C" w:rsidP="00B45E55" w:rsidRDefault="00237F5C">
      <w:pPr>
        <w:pStyle w:val="Default"/>
      </w:pPr>
      <w:r w:rsidRPr="006A3BBA">
        <w:t xml:space="preserve">The Ever6 indicator measures the number of children that have been eligible (i.e. have applied successfully) for free school meals at any point in the previous </w:t>
      </w:r>
      <w:r w:rsidRPr="006A3BBA" w:rsidR="00A727D9">
        <w:t xml:space="preserve">six </w:t>
      </w:r>
      <w:r w:rsidRPr="006A3BBA">
        <w:t>years. Eligible children will attract £540 (primary) and £785 (secondary) per annum.</w:t>
      </w:r>
      <w:r w:rsidRPr="006A3BBA" w:rsidR="006A3BBA">
        <w:t xml:space="preserve">  </w:t>
      </w:r>
      <w:r w:rsidRPr="006A3BBA" w:rsidR="006F3E68">
        <w:t>C</w:t>
      </w:r>
      <w:r w:rsidRPr="006A3BBA">
        <w:t xml:space="preserve">hildren who are also </w:t>
      </w:r>
      <w:r w:rsidRPr="006A3BBA">
        <w:rPr>
          <w:u w:val="single"/>
        </w:rPr>
        <w:t>currently</w:t>
      </w:r>
      <w:r w:rsidRPr="006A3BBA">
        <w:t xml:space="preserve"> entitled to free school meals will generate an additional £440 over and above the Ever 6 multiplier. This additional sum is notionally to cover the cost of their free school meal.</w:t>
      </w:r>
    </w:p>
    <w:p w:rsidRPr="00EA4C45" w:rsidR="00B7689D" w:rsidP="00B7689D" w:rsidRDefault="00EA4C45">
      <w:pPr>
        <w:pStyle w:val="Default"/>
        <w:rPr>
          <w:b/>
          <w:sz w:val="23"/>
          <w:szCs w:val="23"/>
        </w:rPr>
      </w:pPr>
      <w:r w:rsidRPr="00EA4C45">
        <w:rPr>
          <w:b/>
          <w:sz w:val="23"/>
          <w:szCs w:val="23"/>
        </w:rPr>
        <w:lastRenderedPageBreak/>
        <w:t>2.2</w:t>
      </w:r>
      <w:r w:rsidRPr="00EA4C45">
        <w:rPr>
          <w:b/>
          <w:sz w:val="23"/>
          <w:szCs w:val="23"/>
        </w:rPr>
        <w:tab/>
      </w:r>
      <w:r w:rsidRPr="002A384E" w:rsidR="00237F5C">
        <w:rPr>
          <w:b/>
          <w:sz w:val="23"/>
          <w:szCs w:val="23"/>
          <w:u w:val="single"/>
        </w:rPr>
        <w:t>Low Prior Attainment</w:t>
      </w:r>
    </w:p>
    <w:p w:rsidR="00B7689D" w:rsidP="00B7689D" w:rsidRDefault="00B7689D">
      <w:pPr>
        <w:pStyle w:val="Default"/>
        <w:rPr>
          <w:sz w:val="23"/>
          <w:szCs w:val="23"/>
        </w:rPr>
      </w:pPr>
    </w:p>
    <w:p w:rsidRPr="0052603D" w:rsidR="00237F5C" w:rsidP="00237F5C" w:rsidRDefault="00237F5C">
      <w:pPr>
        <w:pStyle w:val="Default"/>
      </w:pPr>
      <w:r w:rsidRPr="0052603D">
        <w:t>Prior attainment data is an important tool for schools to identify pupils who are likely to need extra support. Research has shown that a pupil’s prior attainment is the strongest predictor of their likely later attainment. The NFF will allocate 7.4% of the total national funding formula (£2.5 billion) in respect of pupils with low prior attainment, a substantially greater proportion than allocated currently within LAs’ formulae (4.3%).  The indicators are as follows:</w:t>
      </w:r>
    </w:p>
    <w:p w:rsidRPr="0052603D" w:rsidR="00237F5C" w:rsidP="00237F5C" w:rsidRDefault="00237F5C">
      <w:pPr>
        <w:pStyle w:val="Default"/>
      </w:pPr>
    </w:p>
    <w:p w:rsidRPr="0052603D" w:rsidR="00237F5C" w:rsidP="00237F5C" w:rsidRDefault="00237F5C">
      <w:pPr>
        <w:pStyle w:val="Default"/>
      </w:pPr>
      <w:r w:rsidRPr="0052603D">
        <w:t xml:space="preserve">Primary – based on </w:t>
      </w:r>
      <w:r w:rsidRPr="0052603D" w:rsidR="00805F59">
        <w:t xml:space="preserve">a combination of </w:t>
      </w:r>
      <w:r w:rsidRPr="0052603D">
        <w:t xml:space="preserve">the number of pupils that do not achieve the expected level </w:t>
      </w:r>
      <w:r w:rsidRPr="0052603D" w:rsidR="002A384E">
        <w:t>of development</w:t>
      </w:r>
      <w:r w:rsidRPr="0052603D" w:rsidR="00AF38AE">
        <w:t xml:space="preserve"> (Years 1-4) </w:t>
      </w:r>
      <w:r w:rsidRPr="0052603D" w:rsidR="00805F59">
        <w:t>plus the number of pupils that achieved fewer than 78 points in the EYFSP assessment tests</w:t>
      </w:r>
      <w:r w:rsidRPr="0052603D" w:rsidR="00AF38AE">
        <w:t xml:space="preserve"> (Years 5 and 6)</w:t>
      </w:r>
      <w:r w:rsidRPr="0052603D" w:rsidR="002A384E">
        <w:t xml:space="preserve">. </w:t>
      </w:r>
      <w:r w:rsidRPr="0052603D" w:rsidR="00805F59">
        <w:t>The actual number of pupils triggering a resource will be the sum of the two counts divided by the NOR (Y</w:t>
      </w:r>
      <w:r w:rsidRPr="0052603D" w:rsidR="00AF38AE">
        <w:t>ears</w:t>
      </w:r>
      <w:r w:rsidRPr="0052603D" w:rsidR="00805F59">
        <w:t xml:space="preserve"> 1-6). The resultant proportion will then be multiplied by the overall NOR</w:t>
      </w:r>
      <w:r w:rsidRPr="0052603D" w:rsidR="00AF38AE">
        <w:t>,</w:t>
      </w:r>
      <w:r w:rsidRPr="0052603D" w:rsidR="00805F59">
        <w:t xml:space="preserve"> including reception</w:t>
      </w:r>
      <w:r w:rsidRPr="0052603D" w:rsidR="00AF38AE">
        <w:t>,</w:t>
      </w:r>
      <w:r w:rsidRPr="0052603D" w:rsidR="00805F59">
        <w:t xml:space="preserve"> to produce the count for funding purposes. </w:t>
      </w:r>
      <w:r w:rsidRPr="0052603D" w:rsidR="002A384E">
        <w:t xml:space="preserve">Each </w:t>
      </w:r>
      <w:r w:rsidRPr="0052603D" w:rsidR="00805F59">
        <w:t xml:space="preserve">eligible </w:t>
      </w:r>
      <w:r w:rsidRPr="0052603D" w:rsidR="002A384E">
        <w:t xml:space="preserve">pupil will </w:t>
      </w:r>
      <w:r w:rsidRPr="0052603D">
        <w:t xml:space="preserve">attract an additional £1,050 a year through the formula throughout their time in primary </w:t>
      </w:r>
      <w:r w:rsidRPr="0052603D" w:rsidR="002A384E">
        <w:t>education</w:t>
      </w:r>
      <w:r w:rsidRPr="0052603D">
        <w:t xml:space="preserve">. </w:t>
      </w:r>
    </w:p>
    <w:p w:rsidRPr="0052603D" w:rsidR="002A384E" w:rsidP="00237F5C" w:rsidRDefault="002A384E">
      <w:pPr>
        <w:pStyle w:val="Default"/>
      </w:pPr>
    </w:p>
    <w:p w:rsidRPr="0052603D" w:rsidR="002A384E" w:rsidP="002A384E" w:rsidRDefault="002A384E">
      <w:pPr>
        <w:pStyle w:val="Default"/>
      </w:pPr>
      <w:r w:rsidRPr="0052603D">
        <w:t>Secondary – based on the number of pupils that do not achieve the expected level at key stage 2 in one or more of reading or writing or mathematics. Eligible pupils will attract an additional £1,550 a year while in secondary education.</w:t>
      </w:r>
    </w:p>
    <w:p w:rsidR="002A384E" w:rsidP="002A384E" w:rsidRDefault="002A384E">
      <w:pPr>
        <w:pStyle w:val="Default"/>
        <w:rPr>
          <w:sz w:val="23"/>
          <w:szCs w:val="23"/>
        </w:rPr>
      </w:pPr>
      <w:r>
        <w:rPr>
          <w:sz w:val="23"/>
          <w:szCs w:val="23"/>
        </w:rPr>
        <w:t xml:space="preserve"> </w:t>
      </w:r>
    </w:p>
    <w:p w:rsidRPr="002A384E" w:rsidR="002A384E" w:rsidP="00237F5C" w:rsidRDefault="002A384E">
      <w:pPr>
        <w:pStyle w:val="Default"/>
        <w:rPr>
          <w:b/>
          <w:sz w:val="23"/>
          <w:szCs w:val="23"/>
          <w:u w:val="single"/>
        </w:rPr>
      </w:pPr>
      <w:r w:rsidRPr="002A384E">
        <w:rPr>
          <w:b/>
          <w:sz w:val="23"/>
          <w:szCs w:val="23"/>
        </w:rPr>
        <w:t>2.3</w:t>
      </w:r>
      <w:r w:rsidRPr="002A384E">
        <w:rPr>
          <w:b/>
          <w:sz w:val="23"/>
          <w:szCs w:val="23"/>
        </w:rPr>
        <w:tab/>
      </w:r>
      <w:r w:rsidRPr="002A384E">
        <w:rPr>
          <w:b/>
          <w:sz w:val="23"/>
          <w:szCs w:val="23"/>
          <w:u w:val="single"/>
        </w:rPr>
        <w:t>English as an Additional Language</w:t>
      </w:r>
      <w:r w:rsidR="001743F6">
        <w:rPr>
          <w:b/>
          <w:sz w:val="23"/>
          <w:szCs w:val="23"/>
          <w:u w:val="single"/>
        </w:rPr>
        <w:t xml:space="preserve"> (EAL)</w:t>
      </w:r>
    </w:p>
    <w:p w:rsidR="002A384E" w:rsidP="00237F5C" w:rsidRDefault="002A384E">
      <w:pPr>
        <w:pStyle w:val="Default"/>
        <w:rPr>
          <w:sz w:val="23"/>
          <w:szCs w:val="23"/>
        </w:rPr>
      </w:pPr>
    </w:p>
    <w:p w:rsidRPr="006A3BBA" w:rsidR="00B16390" w:rsidP="002A384E" w:rsidRDefault="002A384E">
      <w:pPr>
        <w:pStyle w:val="Default"/>
      </w:pPr>
      <w:r w:rsidRPr="006A3BBA">
        <w:t xml:space="preserve">The pupils eligible for funding through the </w:t>
      </w:r>
      <w:r w:rsidRPr="006A3BBA" w:rsidR="001743F6">
        <w:t xml:space="preserve">NFF </w:t>
      </w:r>
      <w:r w:rsidRPr="006A3BBA">
        <w:t>EAL factor are pupils recorded on the census as having entered state education in England during the last three years, and having been exposed to a mother tongue other than English (EAL3). Primary schools will receive £515 per eligible pupil and secondary schools £1,385</w:t>
      </w:r>
      <w:r w:rsidRPr="006A3BBA" w:rsidR="001743F6">
        <w:t>.</w:t>
      </w:r>
      <w:r w:rsidRPr="006A3BBA" w:rsidR="00B16390">
        <w:t xml:space="preserve"> </w:t>
      </w:r>
    </w:p>
    <w:p w:rsidRPr="006A3BBA" w:rsidR="00B16390" w:rsidP="002A384E" w:rsidRDefault="00B16390">
      <w:pPr>
        <w:pStyle w:val="Default"/>
      </w:pPr>
    </w:p>
    <w:p w:rsidRPr="006A3BBA" w:rsidR="002A384E" w:rsidP="002A384E" w:rsidRDefault="00B16390">
      <w:pPr>
        <w:pStyle w:val="Default"/>
      </w:pPr>
      <w:r w:rsidRPr="006A3BBA">
        <w:t>The use of EAL3 represents a change for Derbyshire as we currently use EAL 1 i.e. – the number of children having entered state education in England during the last year and having a mother tongue other than English.</w:t>
      </w:r>
    </w:p>
    <w:p w:rsidR="002A384E" w:rsidP="00237F5C" w:rsidRDefault="002A384E">
      <w:pPr>
        <w:pStyle w:val="Default"/>
        <w:rPr>
          <w:sz w:val="23"/>
          <w:szCs w:val="23"/>
        </w:rPr>
      </w:pPr>
    </w:p>
    <w:p w:rsidRPr="002A384E" w:rsidR="002A384E" w:rsidP="00237F5C" w:rsidRDefault="002A384E">
      <w:pPr>
        <w:pStyle w:val="Default"/>
        <w:rPr>
          <w:b/>
          <w:sz w:val="23"/>
          <w:szCs w:val="23"/>
        </w:rPr>
      </w:pPr>
      <w:r w:rsidRPr="002A384E">
        <w:rPr>
          <w:b/>
          <w:sz w:val="23"/>
          <w:szCs w:val="23"/>
        </w:rPr>
        <w:t>2.4</w:t>
      </w:r>
      <w:r w:rsidRPr="002A384E">
        <w:rPr>
          <w:b/>
          <w:sz w:val="23"/>
          <w:szCs w:val="23"/>
        </w:rPr>
        <w:tab/>
      </w:r>
      <w:r w:rsidRPr="002A384E">
        <w:rPr>
          <w:b/>
          <w:sz w:val="23"/>
          <w:szCs w:val="23"/>
          <w:u w:val="single"/>
        </w:rPr>
        <w:t>Mobility</w:t>
      </w:r>
    </w:p>
    <w:p w:rsidR="00DB1E3F" w:rsidP="00DB1E3F" w:rsidRDefault="00DB1E3F">
      <w:pPr>
        <w:pStyle w:val="Default"/>
      </w:pPr>
    </w:p>
    <w:p w:rsidRPr="006A3BBA" w:rsidR="00DB1E3F" w:rsidP="00DB1E3F" w:rsidRDefault="00DB1E3F">
      <w:pPr>
        <w:pStyle w:val="Default"/>
      </w:pPr>
      <w:r w:rsidRPr="006A3BBA">
        <w:t xml:space="preserve">The mobility factor is intended to support schools that have a high proportion of pupils joining the school mid-way through the academic year. Funding to local authorities will be allocated on an historic spend basis. </w:t>
      </w:r>
      <w:r w:rsidR="00976AEA">
        <w:t>Derbyshire does not use this indicator and therefore will receive no funding.</w:t>
      </w:r>
    </w:p>
    <w:p w:rsidRPr="002A384E" w:rsidR="00237F5C" w:rsidP="00B7689D" w:rsidRDefault="00DB1E3F">
      <w:pPr>
        <w:pStyle w:val="Default"/>
        <w:rPr>
          <w:b/>
          <w:sz w:val="23"/>
          <w:szCs w:val="23"/>
        </w:rPr>
      </w:pPr>
      <w:r>
        <w:rPr>
          <w:sz w:val="23"/>
          <w:szCs w:val="23"/>
        </w:rPr>
        <w:t xml:space="preserve"> </w:t>
      </w:r>
    </w:p>
    <w:p w:rsidRPr="002A384E" w:rsidR="00EA4C45" w:rsidP="002A384E" w:rsidRDefault="00412F2D">
      <w:pPr>
        <w:pStyle w:val="Default"/>
        <w:numPr>
          <w:ilvl w:val="0"/>
          <w:numId w:val="6"/>
        </w:numPr>
        <w:ind w:hanging="720"/>
        <w:rPr>
          <w:b/>
          <w:sz w:val="23"/>
          <w:szCs w:val="23"/>
          <w:u w:val="single"/>
        </w:rPr>
      </w:pPr>
      <w:r>
        <w:rPr>
          <w:b/>
          <w:sz w:val="23"/>
          <w:szCs w:val="23"/>
          <w:u w:val="single"/>
        </w:rPr>
        <w:t>School-l</w:t>
      </w:r>
      <w:r w:rsidRPr="002A384E" w:rsidR="002A384E">
        <w:rPr>
          <w:b/>
          <w:sz w:val="23"/>
          <w:szCs w:val="23"/>
          <w:u w:val="single"/>
        </w:rPr>
        <w:t>ed funding</w:t>
      </w:r>
    </w:p>
    <w:p w:rsidR="00B7689D" w:rsidP="00B7689D" w:rsidRDefault="00B7689D">
      <w:pPr>
        <w:pStyle w:val="Default"/>
        <w:rPr>
          <w:b/>
          <w:sz w:val="23"/>
          <w:szCs w:val="23"/>
        </w:rPr>
      </w:pPr>
    </w:p>
    <w:p w:rsidR="002A384E" w:rsidP="00B7689D" w:rsidRDefault="002A384E">
      <w:pPr>
        <w:pStyle w:val="Default"/>
        <w:rPr>
          <w:b/>
          <w:sz w:val="23"/>
          <w:szCs w:val="23"/>
          <w:u w:val="single"/>
        </w:rPr>
      </w:pPr>
      <w:r>
        <w:rPr>
          <w:b/>
          <w:sz w:val="23"/>
          <w:szCs w:val="23"/>
        </w:rPr>
        <w:t>3.1</w:t>
      </w:r>
      <w:r>
        <w:rPr>
          <w:b/>
          <w:sz w:val="23"/>
          <w:szCs w:val="23"/>
        </w:rPr>
        <w:tab/>
      </w:r>
      <w:r w:rsidRPr="002A384E">
        <w:rPr>
          <w:b/>
          <w:sz w:val="23"/>
          <w:szCs w:val="23"/>
          <w:u w:val="single"/>
        </w:rPr>
        <w:t>Lump sum</w:t>
      </w:r>
    </w:p>
    <w:p w:rsidR="002A384E" w:rsidP="00B7689D" w:rsidRDefault="002A384E">
      <w:pPr>
        <w:pStyle w:val="Default"/>
        <w:rPr>
          <w:b/>
          <w:sz w:val="23"/>
          <w:szCs w:val="23"/>
        </w:rPr>
      </w:pPr>
    </w:p>
    <w:p w:rsidRPr="006A3BBA" w:rsidR="002A384E" w:rsidP="002A384E" w:rsidRDefault="002A384E">
      <w:pPr>
        <w:pStyle w:val="Default"/>
      </w:pPr>
      <w:r w:rsidRPr="006A3BBA">
        <w:t xml:space="preserve">Each school will receive a lump sum allocation of £110,000, irrespective of size, there is also no differentiation between phases, primary and secondary schools will receive the same amount. </w:t>
      </w:r>
    </w:p>
    <w:p w:rsidR="002A384E" w:rsidP="00B7689D" w:rsidRDefault="002A384E">
      <w:pPr>
        <w:pStyle w:val="Default"/>
        <w:rPr>
          <w:b/>
          <w:sz w:val="23"/>
          <w:szCs w:val="23"/>
        </w:rPr>
      </w:pPr>
    </w:p>
    <w:p w:rsidR="002A384E" w:rsidP="00B7689D" w:rsidRDefault="002A384E">
      <w:pPr>
        <w:pStyle w:val="Default"/>
        <w:rPr>
          <w:b/>
          <w:sz w:val="23"/>
          <w:szCs w:val="23"/>
          <w:u w:val="single"/>
        </w:rPr>
      </w:pPr>
      <w:r>
        <w:rPr>
          <w:b/>
          <w:sz w:val="23"/>
          <w:szCs w:val="23"/>
        </w:rPr>
        <w:t>3.2</w:t>
      </w:r>
      <w:r>
        <w:rPr>
          <w:b/>
          <w:sz w:val="23"/>
          <w:szCs w:val="23"/>
        </w:rPr>
        <w:tab/>
      </w:r>
      <w:r w:rsidRPr="002A384E">
        <w:rPr>
          <w:b/>
          <w:sz w:val="23"/>
          <w:szCs w:val="23"/>
          <w:u w:val="single"/>
        </w:rPr>
        <w:t>Sparsity</w:t>
      </w:r>
    </w:p>
    <w:p w:rsidR="002A384E" w:rsidP="00B7689D" w:rsidRDefault="002A384E">
      <w:pPr>
        <w:pStyle w:val="Default"/>
        <w:rPr>
          <w:b/>
          <w:sz w:val="23"/>
          <w:szCs w:val="23"/>
        </w:rPr>
      </w:pPr>
    </w:p>
    <w:p w:rsidRPr="006A3BBA" w:rsidR="002A384E" w:rsidP="002A384E" w:rsidRDefault="002A384E">
      <w:pPr>
        <w:autoSpaceDE w:val="0"/>
        <w:autoSpaceDN w:val="0"/>
        <w:adjustRightInd w:val="0"/>
        <w:rPr>
          <w:rFonts w:ascii="Arial" w:hAnsi="Arial" w:cs="Arial"/>
          <w:color w:val="000000"/>
          <w:sz w:val="24"/>
          <w:szCs w:val="24"/>
        </w:rPr>
      </w:pPr>
      <w:r w:rsidRPr="006A3BBA">
        <w:rPr>
          <w:rFonts w:ascii="Arial" w:hAnsi="Arial" w:cs="Arial"/>
          <w:color w:val="000000"/>
          <w:sz w:val="24"/>
          <w:szCs w:val="24"/>
        </w:rPr>
        <w:t xml:space="preserve">The sparsity factor targets extra funding to schools that are both small and remote. Eligible schools will receive up to £25,000 (primary) or £65,000 (secondary), the allocations being </w:t>
      </w:r>
      <w:r w:rsidRPr="006A3BBA" w:rsidR="00AD5E6F">
        <w:rPr>
          <w:rFonts w:ascii="Arial" w:hAnsi="Arial" w:cs="Arial"/>
          <w:color w:val="000000"/>
          <w:sz w:val="24"/>
          <w:szCs w:val="24"/>
        </w:rPr>
        <w:t xml:space="preserve">reduced as </w:t>
      </w:r>
      <w:r w:rsidRPr="006A3BBA">
        <w:rPr>
          <w:rFonts w:ascii="Arial" w:hAnsi="Arial" w:cs="Arial"/>
          <w:color w:val="000000"/>
          <w:sz w:val="24"/>
          <w:szCs w:val="24"/>
        </w:rPr>
        <w:t xml:space="preserve">the size of the school </w:t>
      </w:r>
      <w:r w:rsidRPr="006A3BBA" w:rsidR="00AD5E6F">
        <w:rPr>
          <w:rFonts w:ascii="Arial" w:hAnsi="Arial" w:cs="Arial"/>
          <w:color w:val="000000"/>
          <w:sz w:val="24"/>
          <w:szCs w:val="24"/>
        </w:rPr>
        <w:t xml:space="preserve">increases. </w:t>
      </w:r>
    </w:p>
    <w:p w:rsidR="00AD5E6F" w:rsidP="002A384E" w:rsidRDefault="00AD5E6F">
      <w:pPr>
        <w:autoSpaceDE w:val="0"/>
        <w:autoSpaceDN w:val="0"/>
        <w:adjustRightInd w:val="0"/>
        <w:rPr>
          <w:rFonts w:ascii="Arial" w:hAnsi="Arial" w:cs="Arial"/>
          <w:color w:val="000000"/>
          <w:sz w:val="24"/>
          <w:szCs w:val="24"/>
        </w:rPr>
      </w:pPr>
    </w:p>
    <w:p w:rsidRPr="0052603D" w:rsidR="00AD5E6F" w:rsidP="00AD5E6F" w:rsidRDefault="00AD5E6F">
      <w:pPr>
        <w:pStyle w:val="Default"/>
      </w:pPr>
      <w:r w:rsidRPr="0052603D">
        <w:t xml:space="preserve">A school is eligible for sparsity funding if: </w:t>
      </w:r>
    </w:p>
    <w:p w:rsidR="00AD5E6F" w:rsidP="00AD5E6F" w:rsidRDefault="00AD5E6F">
      <w:pPr>
        <w:pStyle w:val="Default"/>
        <w:rPr>
          <w:sz w:val="23"/>
          <w:szCs w:val="23"/>
        </w:rPr>
      </w:pPr>
    </w:p>
    <w:p w:rsidRPr="00AD5E6F" w:rsidR="00AD5E6F" w:rsidP="00AD5E6F" w:rsidRDefault="00AD5E6F">
      <w:pPr>
        <w:pStyle w:val="ListParagraph"/>
        <w:numPr>
          <w:ilvl w:val="0"/>
          <w:numId w:val="8"/>
        </w:numPr>
        <w:rPr>
          <w:rFonts w:ascii="Arial" w:hAnsi="Arial" w:cs="Arial"/>
          <w:sz w:val="24"/>
          <w:szCs w:val="24"/>
        </w:rPr>
      </w:pPr>
      <w:r w:rsidRPr="00AD5E6F">
        <w:rPr>
          <w:rFonts w:ascii="Arial" w:hAnsi="Arial" w:cs="Arial"/>
          <w:sz w:val="24"/>
          <w:szCs w:val="24"/>
        </w:rPr>
        <w:t>For all the pupils for whom it is the nearest compatible school, the average straight-line distance from the pupils</w:t>
      </w:r>
      <w:r w:rsidR="00D70D7E">
        <w:rPr>
          <w:rFonts w:ascii="Arial" w:hAnsi="Arial" w:cs="Arial"/>
          <w:sz w:val="24"/>
          <w:szCs w:val="24"/>
        </w:rPr>
        <w:t>’</w:t>
      </w:r>
      <w:r w:rsidRPr="00AD5E6F">
        <w:rPr>
          <w:rFonts w:ascii="Arial" w:hAnsi="Arial" w:cs="Arial"/>
          <w:sz w:val="24"/>
          <w:szCs w:val="24"/>
        </w:rPr>
        <w:t xml:space="preserve"> homes to the second nearest compatible school (the sparsity distance) is more than three miles (for secondary schools) or two miles (for all other schools); </w:t>
      </w:r>
      <w:r w:rsidRPr="00D70D7E">
        <w:rPr>
          <w:rFonts w:ascii="Arial" w:hAnsi="Arial" w:cs="Arial"/>
          <w:b/>
          <w:color w:val="FF0000"/>
          <w:sz w:val="24"/>
          <w:szCs w:val="24"/>
        </w:rPr>
        <w:t>and</w:t>
      </w:r>
      <w:r w:rsidRPr="00D70D7E">
        <w:rPr>
          <w:rFonts w:ascii="Arial" w:hAnsi="Arial" w:cs="Arial"/>
          <w:color w:val="FF0000"/>
          <w:sz w:val="24"/>
          <w:szCs w:val="24"/>
        </w:rPr>
        <w:t xml:space="preserve"> </w:t>
      </w:r>
    </w:p>
    <w:p w:rsidR="00AD5E6F" w:rsidP="00AD5E6F" w:rsidRDefault="00AD5E6F">
      <w:pPr>
        <w:pStyle w:val="ListParagraph"/>
        <w:numPr>
          <w:ilvl w:val="0"/>
          <w:numId w:val="8"/>
        </w:numPr>
        <w:rPr>
          <w:rFonts w:ascii="Arial" w:hAnsi="Arial" w:cs="Arial"/>
          <w:color w:val="000000"/>
          <w:sz w:val="24"/>
          <w:szCs w:val="24"/>
        </w:rPr>
      </w:pPr>
      <w:r w:rsidRPr="00AD5E6F">
        <w:rPr>
          <w:rFonts w:ascii="Arial" w:hAnsi="Arial" w:cs="Arial"/>
          <w:sz w:val="24"/>
          <w:szCs w:val="24"/>
        </w:rPr>
        <w:lastRenderedPageBreak/>
        <w:t>The average year group size (</w:t>
      </w:r>
      <w:r>
        <w:rPr>
          <w:rFonts w:ascii="Arial" w:hAnsi="Arial" w:cs="Arial"/>
          <w:sz w:val="24"/>
          <w:szCs w:val="24"/>
        </w:rPr>
        <w:t xml:space="preserve">the </w:t>
      </w:r>
      <w:r w:rsidRPr="00AD5E6F">
        <w:rPr>
          <w:rFonts w:ascii="Arial" w:hAnsi="Arial" w:cs="Arial"/>
          <w:sz w:val="24"/>
          <w:szCs w:val="24"/>
        </w:rPr>
        <w:t>pupil count divided by number of year groups) is below the</w:t>
      </w:r>
      <w:r w:rsidR="009B0157">
        <w:rPr>
          <w:rFonts w:ascii="Arial" w:hAnsi="Arial" w:cs="Arial"/>
          <w:sz w:val="24"/>
          <w:szCs w:val="24"/>
        </w:rPr>
        <w:t xml:space="preserve"> set </w:t>
      </w:r>
      <w:r w:rsidRPr="00AD5E6F">
        <w:rPr>
          <w:rFonts w:ascii="Arial" w:hAnsi="Arial" w:cs="Arial"/>
          <w:sz w:val="24"/>
          <w:szCs w:val="24"/>
        </w:rPr>
        <w:t>threshold</w:t>
      </w:r>
      <w:r>
        <w:rPr>
          <w:rFonts w:ascii="Arial" w:hAnsi="Arial" w:cs="Arial"/>
          <w:sz w:val="24"/>
          <w:szCs w:val="24"/>
        </w:rPr>
        <w:t>s (</w:t>
      </w:r>
      <w:r w:rsidRPr="00AD5E6F">
        <w:rPr>
          <w:rFonts w:ascii="Arial" w:hAnsi="Arial" w:cs="Arial"/>
          <w:sz w:val="24"/>
          <w:szCs w:val="24"/>
        </w:rPr>
        <w:t>21.4 for primary schools</w:t>
      </w:r>
      <w:r>
        <w:rPr>
          <w:rFonts w:ascii="Arial" w:hAnsi="Arial" w:cs="Arial"/>
          <w:sz w:val="24"/>
          <w:szCs w:val="24"/>
        </w:rPr>
        <w:t xml:space="preserve">, equivalent to </w:t>
      </w:r>
      <w:r w:rsidR="00E914C9">
        <w:rPr>
          <w:rFonts w:ascii="Arial" w:hAnsi="Arial" w:cs="Arial"/>
          <w:sz w:val="24"/>
          <w:szCs w:val="24"/>
        </w:rPr>
        <w:t>~</w:t>
      </w:r>
      <w:r>
        <w:rPr>
          <w:rFonts w:ascii="Arial" w:hAnsi="Arial" w:cs="Arial"/>
          <w:sz w:val="24"/>
          <w:szCs w:val="24"/>
        </w:rPr>
        <w:t>1</w:t>
      </w:r>
      <w:r w:rsidR="009B0157">
        <w:rPr>
          <w:rFonts w:ascii="Arial" w:hAnsi="Arial" w:cs="Arial"/>
          <w:sz w:val="24"/>
          <w:szCs w:val="24"/>
        </w:rPr>
        <w:t>5</w:t>
      </w:r>
      <w:r>
        <w:rPr>
          <w:rFonts w:ascii="Arial" w:hAnsi="Arial" w:cs="Arial"/>
          <w:sz w:val="24"/>
          <w:szCs w:val="24"/>
        </w:rPr>
        <w:t>0 on roll for a primary school,</w:t>
      </w:r>
      <w:r w:rsidR="003C427E">
        <w:rPr>
          <w:rFonts w:ascii="Arial" w:hAnsi="Arial" w:cs="Arial"/>
          <w:sz w:val="24"/>
          <w:szCs w:val="24"/>
        </w:rPr>
        <w:t xml:space="preserve"> </w:t>
      </w:r>
      <w:r>
        <w:rPr>
          <w:rFonts w:ascii="Arial" w:hAnsi="Arial" w:cs="Arial"/>
          <w:sz w:val="24"/>
          <w:szCs w:val="24"/>
        </w:rPr>
        <w:t xml:space="preserve">64.2 for an infant school and 85.6 for a junior school) and </w:t>
      </w:r>
      <w:r w:rsidRPr="00AD5E6F">
        <w:rPr>
          <w:rFonts w:ascii="Arial" w:hAnsi="Arial" w:cs="Arial"/>
          <w:sz w:val="24"/>
          <w:szCs w:val="24"/>
        </w:rPr>
        <w:t xml:space="preserve">120 for secondary schools </w:t>
      </w:r>
      <w:r>
        <w:rPr>
          <w:rFonts w:ascii="Arial" w:hAnsi="Arial" w:cs="Arial"/>
          <w:sz w:val="24"/>
          <w:szCs w:val="24"/>
        </w:rPr>
        <w:t>(equivalent to a pre</w:t>
      </w:r>
      <w:r w:rsidR="009B0157">
        <w:rPr>
          <w:rFonts w:ascii="Arial" w:hAnsi="Arial" w:cs="Arial"/>
          <w:sz w:val="24"/>
          <w:szCs w:val="24"/>
        </w:rPr>
        <w:t>-</w:t>
      </w:r>
      <w:r>
        <w:rPr>
          <w:rFonts w:ascii="Arial" w:hAnsi="Arial" w:cs="Arial"/>
          <w:sz w:val="24"/>
          <w:szCs w:val="24"/>
        </w:rPr>
        <w:t>16 NOR of 600).</w:t>
      </w:r>
      <w:r>
        <w:rPr>
          <w:rFonts w:ascii="Arial" w:hAnsi="Arial" w:cs="Arial"/>
          <w:color w:val="000000"/>
          <w:sz w:val="24"/>
          <w:szCs w:val="24"/>
        </w:rPr>
        <w:t xml:space="preserve"> </w:t>
      </w:r>
    </w:p>
    <w:p w:rsidRPr="005B1182" w:rsidR="00AD5E6F" w:rsidP="002A384E" w:rsidRDefault="00AD5E6F">
      <w:pPr>
        <w:autoSpaceDE w:val="0"/>
        <w:autoSpaceDN w:val="0"/>
        <w:adjustRightInd w:val="0"/>
        <w:rPr>
          <w:rFonts w:ascii="Arial" w:hAnsi="Arial" w:cs="Arial"/>
          <w:color w:val="000000"/>
          <w:sz w:val="16"/>
          <w:szCs w:val="24"/>
        </w:rPr>
      </w:pPr>
    </w:p>
    <w:p w:rsidR="003C427E" w:rsidP="002A384E" w:rsidRDefault="003C427E">
      <w:pPr>
        <w:autoSpaceDE w:val="0"/>
        <w:autoSpaceDN w:val="0"/>
        <w:adjustRightInd w:val="0"/>
        <w:rPr>
          <w:rFonts w:ascii="Arial" w:hAnsi="Arial" w:cs="Arial"/>
          <w:color w:val="000000"/>
          <w:sz w:val="24"/>
          <w:szCs w:val="24"/>
        </w:rPr>
      </w:pPr>
      <w:r>
        <w:rPr>
          <w:rFonts w:ascii="Arial" w:hAnsi="Arial" w:cs="Arial"/>
          <w:color w:val="000000"/>
          <w:sz w:val="24"/>
          <w:szCs w:val="24"/>
        </w:rPr>
        <w:t xml:space="preserve">Two </w:t>
      </w:r>
      <w:r w:rsidR="00DC1FD6">
        <w:rPr>
          <w:rFonts w:ascii="Arial" w:hAnsi="Arial" w:cs="Arial"/>
          <w:color w:val="000000"/>
          <w:sz w:val="24"/>
          <w:szCs w:val="24"/>
        </w:rPr>
        <w:t xml:space="preserve">points </w:t>
      </w:r>
      <w:r>
        <w:rPr>
          <w:rFonts w:ascii="Arial" w:hAnsi="Arial" w:cs="Arial"/>
          <w:color w:val="000000"/>
          <w:sz w:val="24"/>
          <w:szCs w:val="24"/>
        </w:rPr>
        <w:t>to note</w:t>
      </w:r>
      <w:r w:rsidR="00DC1FD6">
        <w:rPr>
          <w:rFonts w:ascii="Arial" w:hAnsi="Arial" w:cs="Arial"/>
          <w:color w:val="000000"/>
          <w:sz w:val="24"/>
          <w:szCs w:val="24"/>
        </w:rPr>
        <w:t xml:space="preserve">: </w:t>
      </w:r>
      <w:r>
        <w:rPr>
          <w:rFonts w:ascii="Arial" w:hAnsi="Arial" w:cs="Arial"/>
          <w:color w:val="000000"/>
          <w:sz w:val="24"/>
          <w:szCs w:val="24"/>
        </w:rPr>
        <w:t>firstly</w:t>
      </w:r>
      <w:r w:rsidR="00DC1FD6">
        <w:rPr>
          <w:rFonts w:ascii="Arial" w:hAnsi="Arial" w:cs="Arial"/>
          <w:color w:val="000000"/>
          <w:sz w:val="24"/>
          <w:szCs w:val="24"/>
        </w:rPr>
        <w:t xml:space="preserve">, </w:t>
      </w:r>
      <w:r>
        <w:rPr>
          <w:rFonts w:ascii="Arial" w:hAnsi="Arial" w:cs="Arial"/>
          <w:color w:val="000000"/>
          <w:sz w:val="24"/>
          <w:szCs w:val="24"/>
        </w:rPr>
        <w:t xml:space="preserve">test </w:t>
      </w:r>
      <w:r w:rsidR="00AD5E6F">
        <w:rPr>
          <w:rFonts w:ascii="Arial" w:hAnsi="Arial" w:cs="Arial"/>
          <w:color w:val="000000"/>
          <w:sz w:val="24"/>
          <w:szCs w:val="24"/>
        </w:rPr>
        <w:t>(a) above is based on each child’s residence and the</w:t>
      </w:r>
      <w:r>
        <w:rPr>
          <w:rFonts w:ascii="Arial" w:hAnsi="Arial" w:cs="Arial"/>
          <w:color w:val="000000"/>
          <w:sz w:val="24"/>
          <w:szCs w:val="24"/>
        </w:rPr>
        <w:t xml:space="preserve">ir proximity to the </w:t>
      </w:r>
      <w:r w:rsidR="009B0157">
        <w:rPr>
          <w:rFonts w:ascii="Arial" w:hAnsi="Arial" w:cs="Arial"/>
          <w:color w:val="000000"/>
          <w:sz w:val="24"/>
          <w:szCs w:val="24"/>
        </w:rPr>
        <w:t xml:space="preserve">next nearest </w:t>
      </w:r>
      <w:r>
        <w:rPr>
          <w:rFonts w:ascii="Arial" w:hAnsi="Arial" w:cs="Arial"/>
          <w:color w:val="000000"/>
          <w:sz w:val="24"/>
          <w:szCs w:val="24"/>
        </w:rPr>
        <w:t xml:space="preserve">school, </w:t>
      </w:r>
      <w:r w:rsidRPr="003C427E">
        <w:rPr>
          <w:rFonts w:ascii="Arial" w:hAnsi="Arial" w:cs="Arial"/>
          <w:b/>
          <w:color w:val="000000"/>
          <w:sz w:val="24"/>
          <w:szCs w:val="24"/>
        </w:rPr>
        <w:t>irrespective of which school they actually attend.</w:t>
      </w:r>
      <w:r>
        <w:rPr>
          <w:rFonts w:ascii="Arial" w:hAnsi="Arial" w:cs="Arial"/>
          <w:b/>
          <w:color w:val="000000"/>
          <w:sz w:val="24"/>
          <w:szCs w:val="24"/>
        </w:rPr>
        <w:t xml:space="preserve"> </w:t>
      </w:r>
      <w:r w:rsidRPr="003C427E">
        <w:rPr>
          <w:rFonts w:ascii="Arial" w:hAnsi="Arial" w:cs="Arial"/>
          <w:color w:val="000000"/>
          <w:sz w:val="24"/>
          <w:szCs w:val="24"/>
        </w:rPr>
        <w:t>Second</w:t>
      </w:r>
      <w:r>
        <w:rPr>
          <w:rFonts w:ascii="Arial" w:hAnsi="Arial" w:cs="Arial"/>
          <w:color w:val="000000"/>
          <w:sz w:val="24"/>
          <w:szCs w:val="24"/>
        </w:rPr>
        <w:t xml:space="preserve">, </w:t>
      </w:r>
      <w:r w:rsidRPr="003C427E">
        <w:rPr>
          <w:rFonts w:ascii="Arial" w:hAnsi="Arial" w:cs="Arial"/>
          <w:color w:val="000000"/>
          <w:sz w:val="24"/>
          <w:szCs w:val="24"/>
        </w:rPr>
        <w:t xml:space="preserve">schools with an average year group size </w:t>
      </w:r>
      <w:r w:rsidR="00DC1FD6">
        <w:rPr>
          <w:rFonts w:ascii="Arial" w:hAnsi="Arial" w:cs="Arial"/>
          <w:color w:val="000000"/>
          <w:sz w:val="24"/>
          <w:szCs w:val="24"/>
        </w:rPr>
        <w:t xml:space="preserve">of </w:t>
      </w:r>
      <w:r>
        <w:rPr>
          <w:rFonts w:ascii="Arial" w:hAnsi="Arial" w:cs="Arial"/>
          <w:color w:val="000000"/>
          <w:sz w:val="24"/>
          <w:szCs w:val="24"/>
        </w:rPr>
        <w:t xml:space="preserve">less than </w:t>
      </w:r>
      <w:r w:rsidRPr="003C427E">
        <w:rPr>
          <w:rFonts w:ascii="Arial" w:hAnsi="Arial" w:cs="Arial"/>
          <w:color w:val="000000"/>
          <w:sz w:val="24"/>
          <w:szCs w:val="24"/>
        </w:rPr>
        <w:t xml:space="preserve">50% of the above thresholds </w:t>
      </w:r>
      <w:r>
        <w:rPr>
          <w:rFonts w:ascii="Arial" w:hAnsi="Arial" w:cs="Arial"/>
          <w:color w:val="000000"/>
          <w:sz w:val="24"/>
          <w:szCs w:val="24"/>
        </w:rPr>
        <w:t>will receive the maximum sparsity funding</w:t>
      </w:r>
      <w:r w:rsidR="00DB1E3F">
        <w:rPr>
          <w:rFonts w:ascii="Arial" w:hAnsi="Arial" w:cs="Arial"/>
          <w:color w:val="000000"/>
          <w:sz w:val="24"/>
          <w:szCs w:val="24"/>
        </w:rPr>
        <w:t xml:space="preserve"> (£25,000 or £65,000)</w:t>
      </w:r>
      <w:r>
        <w:rPr>
          <w:rFonts w:ascii="Arial" w:hAnsi="Arial" w:cs="Arial"/>
          <w:color w:val="000000"/>
          <w:sz w:val="24"/>
          <w:szCs w:val="24"/>
        </w:rPr>
        <w:t xml:space="preserve">. Schools with </w:t>
      </w:r>
      <w:r w:rsidR="00DC1FD6">
        <w:rPr>
          <w:rFonts w:ascii="Arial" w:hAnsi="Arial" w:cs="Arial"/>
          <w:color w:val="000000"/>
          <w:sz w:val="24"/>
          <w:szCs w:val="24"/>
        </w:rPr>
        <w:t xml:space="preserve">an </w:t>
      </w:r>
      <w:r>
        <w:rPr>
          <w:rFonts w:ascii="Arial" w:hAnsi="Arial" w:cs="Arial"/>
          <w:color w:val="000000"/>
          <w:sz w:val="24"/>
          <w:szCs w:val="24"/>
        </w:rPr>
        <w:t xml:space="preserve">average year group </w:t>
      </w:r>
      <w:r w:rsidR="00DC1FD6">
        <w:rPr>
          <w:rFonts w:ascii="Arial" w:hAnsi="Arial" w:cs="Arial"/>
          <w:color w:val="000000"/>
          <w:sz w:val="24"/>
          <w:szCs w:val="24"/>
        </w:rPr>
        <w:t xml:space="preserve">size </w:t>
      </w:r>
      <w:r>
        <w:rPr>
          <w:rFonts w:ascii="Arial" w:hAnsi="Arial" w:cs="Arial"/>
          <w:color w:val="000000"/>
          <w:sz w:val="24"/>
          <w:szCs w:val="24"/>
        </w:rPr>
        <w:t xml:space="preserve">above </w:t>
      </w:r>
      <w:r w:rsidR="00DB1E3F">
        <w:rPr>
          <w:rFonts w:ascii="Arial" w:hAnsi="Arial" w:cs="Arial"/>
          <w:color w:val="000000"/>
          <w:sz w:val="24"/>
          <w:szCs w:val="24"/>
        </w:rPr>
        <w:t xml:space="preserve">50% of </w:t>
      </w:r>
      <w:r>
        <w:rPr>
          <w:rFonts w:ascii="Arial" w:hAnsi="Arial" w:cs="Arial"/>
          <w:color w:val="000000"/>
          <w:sz w:val="24"/>
          <w:szCs w:val="24"/>
        </w:rPr>
        <w:t xml:space="preserve">the threshold will have their allocations reduced as the chart below shows. Schools with </w:t>
      </w:r>
      <w:r w:rsidR="00DC1FD6">
        <w:rPr>
          <w:rFonts w:ascii="Arial" w:hAnsi="Arial" w:cs="Arial"/>
          <w:color w:val="000000"/>
          <w:sz w:val="24"/>
          <w:szCs w:val="24"/>
        </w:rPr>
        <w:t xml:space="preserve">an </w:t>
      </w:r>
      <w:r>
        <w:rPr>
          <w:rFonts w:ascii="Arial" w:hAnsi="Arial" w:cs="Arial"/>
          <w:color w:val="000000"/>
          <w:sz w:val="24"/>
          <w:szCs w:val="24"/>
        </w:rPr>
        <w:t xml:space="preserve">average year group </w:t>
      </w:r>
      <w:r w:rsidR="00DC1FD6">
        <w:rPr>
          <w:rFonts w:ascii="Arial" w:hAnsi="Arial" w:cs="Arial"/>
          <w:color w:val="000000"/>
          <w:sz w:val="24"/>
          <w:szCs w:val="24"/>
        </w:rPr>
        <w:t xml:space="preserve">size </w:t>
      </w:r>
      <w:r>
        <w:rPr>
          <w:rFonts w:ascii="Arial" w:hAnsi="Arial" w:cs="Arial"/>
          <w:color w:val="000000"/>
          <w:sz w:val="24"/>
          <w:szCs w:val="24"/>
        </w:rPr>
        <w:t>above the thresholds will not be eligible for sparsity funding, irrespective of their remoteness.</w:t>
      </w:r>
    </w:p>
    <w:p w:rsidRPr="005B1182" w:rsidR="003C427E" w:rsidP="002A384E" w:rsidRDefault="003C427E">
      <w:pPr>
        <w:autoSpaceDE w:val="0"/>
        <w:autoSpaceDN w:val="0"/>
        <w:adjustRightInd w:val="0"/>
        <w:rPr>
          <w:rFonts w:ascii="Arial" w:hAnsi="Arial" w:cs="Arial"/>
          <w:color w:val="000000"/>
          <w:sz w:val="10"/>
          <w:szCs w:val="24"/>
        </w:rPr>
      </w:pPr>
    </w:p>
    <w:p w:rsidR="00AD5E6F" w:rsidP="006E4363" w:rsidRDefault="00AD5E6F">
      <w:pPr>
        <w:autoSpaceDE w:val="0"/>
        <w:autoSpaceDN w:val="0"/>
        <w:adjustRightInd w:val="0"/>
        <w:ind w:left="142"/>
        <w:rPr>
          <w:rFonts w:ascii="Arial" w:hAnsi="Arial" w:cs="Arial"/>
          <w:color w:val="000000"/>
          <w:sz w:val="24"/>
          <w:szCs w:val="24"/>
        </w:rPr>
      </w:pPr>
      <w:r w:rsidRPr="00AD5E6F">
        <w:rPr>
          <w:rFonts w:ascii="Arial" w:hAnsi="Arial" w:cs="Arial"/>
          <w:noProof/>
          <w:color w:val="000000"/>
          <w:sz w:val="24"/>
          <w:szCs w:val="24"/>
          <w:lang w:eastAsia="en-GB"/>
        </w:rPr>
        <w:drawing>
          <wp:inline distT="0" distB="0" distL="0" distR="0" wp14:anchorId="7DC857CC" wp14:editId="09DD2EBD">
            <wp:extent cx="6187440" cy="2807494"/>
            <wp:effectExtent l="0" t="0" r="3810" b="0"/>
            <wp:docPr id="18435" name="Content Placeholder 3"/>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18435" name="Content Placeholder 3"/>
                    <pic:cNvPicPr>
                      <a:picLocks noGrp="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8519" cy="2821596"/>
                    </a:xfrm>
                    <a:prstGeom prst="rect">
                      <a:avLst/>
                    </a:prstGeom>
                    <a:noFill/>
                    <a:ln>
                      <a:noFill/>
                    </a:ln>
                    <a:effectLst/>
                    <a:extLst/>
                  </pic:spPr>
                </pic:pic>
              </a:graphicData>
            </a:graphic>
          </wp:inline>
        </w:drawing>
      </w:r>
    </w:p>
    <w:p w:rsidRPr="00CB683F" w:rsidR="00AD5E6F" w:rsidP="002A384E" w:rsidRDefault="00AD5E6F">
      <w:pPr>
        <w:autoSpaceDE w:val="0"/>
        <w:autoSpaceDN w:val="0"/>
        <w:adjustRightInd w:val="0"/>
        <w:rPr>
          <w:rFonts w:ascii="Arial" w:hAnsi="Arial" w:cs="Arial"/>
          <w:color w:val="000000"/>
          <w:sz w:val="20"/>
          <w:szCs w:val="24"/>
        </w:rPr>
      </w:pPr>
    </w:p>
    <w:p w:rsidRPr="006E4363" w:rsidR="00AD5E6F" w:rsidP="002A384E" w:rsidRDefault="00DB1E3F">
      <w:pPr>
        <w:autoSpaceDE w:val="0"/>
        <w:autoSpaceDN w:val="0"/>
        <w:adjustRightInd w:val="0"/>
        <w:rPr>
          <w:rFonts w:ascii="Arial" w:hAnsi="Arial" w:cs="Arial"/>
          <w:b/>
          <w:color w:val="000000"/>
          <w:sz w:val="24"/>
          <w:szCs w:val="24"/>
        </w:rPr>
      </w:pPr>
      <w:r w:rsidRPr="006E4363">
        <w:rPr>
          <w:rFonts w:ascii="Arial" w:hAnsi="Arial" w:cs="Arial"/>
          <w:b/>
          <w:color w:val="000000"/>
          <w:sz w:val="24"/>
          <w:szCs w:val="24"/>
        </w:rPr>
        <w:t>3.3</w:t>
      </w:r>
      <w:r w:rsidRPr="006E4363">
        <w:rPr>
          <w:rFonts w:ascii="Arial" w:hAnsi="Arial" w:cs="Arial"/>
          <w:b/>
          <w:color w:val="000000"/>
          <w:sz w:val="24"/>
          <w:szCs w:val="24"/>
        </w:rPr>
        <w:tab/>
      </w:r>
      <w:r w:rsidRPr="006E4363">
        <w:rPr>
          <w:rFonts w:ascii="Arial" w:hAnsi="Arial" w:cs="Arial"/>
          <w:b/>
          <w:color w:val="000000"/>
          <w:sz w:val="24"/>
          <w:szCs w:val="24"/>
          <w:u w:val="single"/>
        </w:rPr>
        <w:t xml:space="preserve">Other Premises factors (Rates, PFI, split site and exceptional </w:t>
      </w:r>
      <w:r w:rsidR="001C714B">
        <w:rPr>
          <w:rFonts w:ascii="Arial" w:hAnsi="Arial" w:cs="Arial"/>
          <w:b/>
          <w:color w:val="000000"/>
          <w:sz w:val="24"/>
          <w:szCs w:val="24"/>
          <w:u w:val="single"/>
        </w:rPr>
        <w:t>premises</w:t>
      </w:r>
      <w:r w:rsidRPr="006E4363">
        <w:rPr>
          <w:rFonts w:ascii="Arial" w:hAnsi="Arial" w:cs="Arial"/>
          <w:b/>
          <w:color w:val="000000"/>
          <w:sz w:val="24"/>
          <w:szCs w:val="24"/>
          <w:u w:val="single"/>
        </w:rPr>
        <w:t>)</w:t>
      </w:r>
    </w:p>
    <w:p w:rsidRPr="00CB683F" w:rsidR="006E4363" w:rsidP="002A384E" w:rsidRDefault="006E4363">
      <w:pPr>
        <w:autoSpaceDE w:val="0"/>
        <w:autoSpaceDN w:val="0"/>
        <w:adjustRightInd w:val="0"/>
        <w:rPr>
          <w:rFonts w:ascii="Arial" w:hAnsi="Arial" w:cs="Arial"/>
          <w:color w:val="000000"/>
          <w:sz w:val="20"/>
          <w:szCs w:val="24"/>
        </w:rPr>
      </w:pPr>
    </w:p>
    <w:p w:rsidRPr="006E4363" w:rsidR="006E4363" w:rsidP="006E4363" w:rsidRDefault="006E4363">
      <w:pPr>
        <w:autoSpaceDE w:val="0"/>
        <w:autoSpaceDN w:val="0"/>
        <w:adjustRightInd w:val="0"/>
        <w:rPr>
          <w:rFonts w:ascii="Arial" w:hAnsi="Arial" w:cs="Arial"/>
          <w:color w:val="000000"/>
          <w:sz w:val="24"/>
          <w:szCs w:val="24"/>
        </w:rPr>
      </w:pPr>
      <w:r w:rsidRPr="006E4363">
        <w:rPr>
          <w:rFonts w:ascii="Arial" w:hAnsi="Arial" w:cs="Arial"/>
          <w:color w:val="000000"/>
          <w:sz w:val="24"/>
          <w:szCs w:val="24"/>
        </w:rPr>
        <w:t xml:space="preserve">In 2018-19, the </w:t>
      </w:r>
      <w:r>
        <w:rPr>
          <w:rFonts w:ascii="Arial" w:hAnsi="Arial" w:cs="Arial"/>
          <w:color w:val="000000"/>
          <w:sz w:val="24"/>
          <w:szCs w:val="24"/>
        </w:rPr>
        <w:t xml:space="preserve">NFF </w:t>
      </w:r>
      <w:r w:rsidRPr="006E4363">
        <w:rPr>
          <w:rFonts w:ascii="Arial" w:hAnsi="Arial" w:cs="Arial"/>
          <w:color w:val="000000"/>
          <w:sz w:val="24"/>
          <w:szCs w:val="24"/>
        </w:rPr>
        <w:t xml:space="preserve">will allocate what local authorities plan to spend on rates, split-sites and exceptional </w:t>
      </w:r>
      <w:r w:rsidR="001C714B">
        <w:rPr>
          <w:rFonts w:ascii="Arial" w:hAnsi="Arial" w:cs="Arial"/>
          <w:color w:val="000000"/>
          <w:sz w:val="24"/>
          <w:szCs w:val="24"/>
        </w:rPr>
        <w:t xml:space="preserve">premises factors </w:t>
      </w:r>
      <w:r w:rsidRPr="006E4363">
        <w:rPr>
          <w:rFonts w:ascii="Arial" w:hAnsi="Arial" w:cs="Arial"/>
          <w:color w:val="000000"/>
          <w:sz w:val="24"/>
          <w:szCs w:val="24"/>
        </w:rPr>
        <w:t xml:space="preserve">in their local formulae in 2017-18. Funding for PFI will be allocated on the same basis, but uprated annually in line with RPIX </w:t>
      </w:r>
      <w:r w:rsidR="001C714B">
        <w:rPr>
          <w:rFonts w:ascii="Arial" w:hAnsi="Arial" w:cs="Arial"/>
          <w:color w:val="000000"/>
          <w:sz w:val="24"/>
          <w:szCs w:val="24"/>
        </w:rPr>
        <w:t>to r</w:t>
      </w:r>
      <w:r w:rsidRPr="006E4363">
        <w:rPr>
          <w:rFonts w:ascii="Arial" w:hAnsi="Arial" w:cs="Arial"/>
          <w:color w:val="000000"/>
          <w:sz w:val="24"/>
          <w:szCs w:val="24"/>
        </w:rPr>
        <w:t>eflect the indexation of PFI contracts and evidence received through the consultations. The total planned spend on these premises factors in 2017-18 is £610 million</w:t>
      </w:r>
      <w:r w:rsidR="001C714B">
        <w:rPr>
          <w:rFonts w:ascii="Arial" w:hAnsi="Arial" w:cs="Arial"/>
          <w:color w:val="000000"/>
          <w:sz w:val="24"/>
          <w:szCs w:val="24"/>
        </w:rPr>
        <w:t>, around 1</w:t>
      </w:r>
      <w:r w:rsidRPr="006E4363">
        <w:rPr>
          <w:rFonts w:ascii="Arial" w:hAnsi="Arial" w:cs="Arial"/>
          <w:color w:val="000000"/>
          <w:sz w:val="24"/>
          <w:szCs w:val="24"/>
        </w:rPr>
        <w:t xml:space="preserve">.8% of the total national funding formula. </w:t>
      </w:r>
    </w:p>
    <w:p w:rsidRPr="001C714B" w:rsidR="006E4363" w:rsidP="006E4363" w:rsidRDefault="006E4363">
      <w:pPr>
        <w:autoSpaceDE w:val="0"/>
        <w:autoSpaceDN w:val="0"/>
        <w:adjustRightInd w:val="0"/>
        <w:rPr>
          <w:rFonts w:ascii="Arial" w:hAnsi="Arial" w:cs="Arial"/>
          <w:b/>
          <w:color w:val="000000"/>
          <w:sz w:val="16"/>
          <w:szCs w:val="24"/>
          <w:u w:val="single"/>
        </w:rPr>
      </w:pPr>
    </w:p>
    <w:p w:rsidR="006E4363" w:rsidP="006E4363" w:rsidRDefault="006E4363">
      <w:pPr>
        <w:autoSpaceDE w:val="0"/>
        <w:autoSpaceDN w:val="0"/>
        <w:adjustRightInd w:val="0"/>
        <w:rPr>
          <w:rFonts w:ascii="Arial" w:hAnsi="Arial" w:cs="Arial"/>
          <w:b/>
          <w:color w:val="000000"/>
          <w:sz w:val="24"/>
          <w:szCs w:val="24"/>
          <w:u w:val="single"/>
        </w:rPr>
      </w:pPr>
      <w:r w:rsidRPr="006E4363">
        <w:rPr>
          <w:rFonts w:ascii="Arial" w:hAnsi="Arial" w:cs="Arial"/>
          <w:b/>
          <w:color w:val="000000"/>
          <w:sz w:val="24"/>
          <w:szCs w:val="24"/>
        </w:rPr>
        <w:t>3.4</w:t>
      </w:r>
      <w:r w:rsidRPr="006E4363">
        <w:rPr>
          <w:rFonts w:ascii="Arial" w:hAnsi="Arial" w:cs="Arial"/>
          <w:b/>
          <w:color w:val="000000"/>
          <w:sz w:val="24"/>
          <w:szCs w:val="24"/>
        </w:rPr>
        <w:tab/>
      </w:r>
      <w:r w:rsidRPr="006E4363">
        <w:rPr>
          <w:rFonts w:ascii="Arial" w:hAnsi="Arial" w:cs="Arial"/>
          <w:b/>
          <w:color w:val="000000"/>
          <w:sz w:val="24"/>
          <w:szCs w:val="24"/>
          <w:u w:val="single"/>
        </w:rPr>
        <w:t>Growth</w:t>
      </w:r>
    </w:p>
    <w:p w:rsidRPr="001C714B" w:rsidR="006E4363" w:rsidP="006E4363" w:rsidRDefault="006E4363">
      <w:pPr>
        <w:autoSpaceDE w:val="0"/>
        <w:autoSpaceDN w:val="0"/>
        <w:adjustRightInd w:val="0"/>
        <w:rPr>
          <w:rFonts w:ascii="Arial" w:hAnsi="Arial" w:cs="Arial"/>
          <w:b/>
          <w:color w:val="000000"/>
          <w:sz w:val="20"/>
          <w:szCs w:val="24"/>
          <w:u w:val="single"/>
        </w:rPr>
      </w:pPr>
    </w:p>
    <w:p w:rsidRPr="006E4363" w:rsidR="006E4363" w:rsidP="006E4363" w:rsidRDefault="006E4363">
      <w:pPr>
        <w:autoSpaceDE w:val="0"/>
        <w:autoSpaceDN w:val="0"/>
        <w:adjustRightInd w:val="0"/>
        <w:rPr>
          <w:rFonts w:ascii="Arial" w:hAnsi="Arial" w:cs="Arial"/>
          <w:color w:val="000000"/>
          <w:sz w:val="24"/>
          <w:szCs w:val="24"/>
        </w:rPr>
      </w:pPr>
      <w:r w:rsidRPr="006E4363">
        <w:rPr>
          <w:rFonts w:ascii="Arial" w:hAnsi="Arial" w:cs="Arial"/>
          <w:color w:val="000000"/>
          <w:sz w:val="24"/>
          <w:szCs w:val="24"/>
        </w:rPr>
        <w:t xml:space="preserve">The NFF will allocate funding to enable local authorities to respond where significant growth in pupil numbers occurs in-year and is not immediately recognised by the lagged funding system. This is important because local authorities need to ensure every child has access to a high quality school place. </w:t>
      </w:r>
      <w:r w:rsidR="00F133DE">
        <w:rPr>
          <w:rFonts w:ascii="Arial" w:hAnsi="Arial" w:cs="Arial"/>
          <w:color w:val="000000"/>
          <w:sz w:val="24"/>
          <w:szCs w:val="24"/>
        </w:rPr>
        <w:t xml:space="preserve"> </w:t>
      </w:r>
      <w:r w:rsidRPr="006E4363">
        <w:rPr>
          <w:rFonts w:ascii="Arial" w:hAnsi="Arial" w:cs="Arial"/>
          <w:color w:val="000000"/>
          <w:sz w:val="24"/>
          <w:szCs w:val="24"/>
        </w:rPr>
        <w:t xml:space="preserve">Local authorities currently handle in-year growth in two different ways. They can create a growth fund by top-slicing DSG for allocation in-year or they can adjust the pupil numbers used to calculate growing schools’ local formula allocations. They may also retain some funding to create a budget for good and outstanding schools with temporary falling rolls. </w:t>
      </w:r>
    </w:p>
    <w:p w:rsidRPr="001C714B" w:rsidR="006E4363" w:rsidP="006E4363" w:rsidRDefault="006E4363">
      <w:pPr>
        <w:autoSpaceDE w:val="0"/>
        <w:autoSpaceDN w:val="0"/>
        <w:adjustRightInd w:val="0"/>
        <w:rPr>
          <w:rFonts w:ascii="Arial" w:hAnsi="Arial" w:cs="Arial"/>
          <w:color w:val="000000"/>
          <w:sz w:val="18"/>
          <w:szCs w:val="24"/>
        </w:rPr>
      </w:pPr>
    </w:p>
    <w:p w:rsidR="006E4363" w:rsidP="006E4363" w:rsidRDefault="006E4363">
      <w:pPr>
        <w:autoSpaceDE w:val="0"/>
        <w:autoSpaceDN w:val="0"/>
        <w:adjustRightInd w:val="0"/>
        <w:rPr>
          <w:rFonts w:ascii="Arial" w:hAnsi="Arial" w:cs="Arial"/>
          <w:color w:val="000000"/>
          <w:sz w:val="24"/>
          <w:szCs w:val="24"/>
        </w:rPr>
      </w:pPr>
      <w:r w:rsidRPr="006E4363">
        <w:rPr>
          <w:rFonts w:ascii="Arial" w:hAnsi="Arial" w:cs="Arial"/>
          <w:color w:val="000000"/>
          <w:sz w:val="24"/>
          <w:szCs w:val="24"/>
        </w:rPr>
        <w:t xml:space="preserve">In 2018-19, the growth factor will be allocated on the basis of what each local authority plans to spend, in total, on growth in 2017-18 – this totals £174 million and represents 0.5% of the total formula spend. </w:t>
      </w:r>
    </w:p>
    <w:p w:rsidRPr="001C714B" w:rsidR="006E4363" w:rsidP="006E4363" w:rsidRDefault="006E4363">
      <w:pPr>
        <w:autoSpaceDE w:val="0"/>
        <w:autoSpaceDN w:val="0"/>
        <w:adjustRightInd w:val="0"/>
        <w:rPr>
          <w:rFonts w:ascii="Arial" w:hAnsi="Arial" w:cs="Arial"/>
          <w:color w:val="000000"/>
          <w:sz w:val="14"/>
          <w:szCs w:val="24"/>
        </w:rPr>
      </w:pPr>
    </w:p>
    <w:p w:rsidRPr="006E4363" w:rsidR="006E4363" w:rsidP="006E4363" w:rsidRDefault="006E4363">
      <w:pPr>
        <w:pStyle w:val="ListParagraph"/>
        <w:numPr>
          <w:ilvl w:val="0"/>
          <w:numId w:val="6"/>
        </w:numPr>
        <w:autoSpaceDE w:val="0"/>
        <w:autoSpaceDN w:val="0"/>
        <w:adjustRightInd w:val="0"/>
        <w:ind w:hanging="720"/>
        <w:rPr>
          <w:rFonts w:ascii="Arial" w:hAnsi="Arial" w:cs="Arial"/>
          <w:b/>
          <w:color w:val="000000"/>
          <w:sz w:val="24"/>
          <w:szCs w:val="24"/>
          <w:u w:val="single"/>
        </w:rPr>
      </w:pPr>
      <w:r w:rsidRPr="006E4363">
        <w:rPr>
          <w:rFonts w:ascii="Arial" w:hAnsi="Arial" w:cs="Arial"/>
          <w:b/>
          <w:color w:val="000000"/>
          <w:sz w:val="24"/>
          <w:szCs w:val="24"/>
          <w:u w:val="single"/>
        </w:rPr>
        <w:t>Area Cost Adjustment</w:t>
      </w:r>
    </w:p>
    <w:p w:rsidR="006E4363" w:rsidP="006E4363" w:rsidRDefault="006E4363">
      <w:pPr>
        <w:autoSpaceDE w:val="0"/>
        <w:autoSpaceDN w:val="0"/>
        <w:adjustRightInd w:val="0"/>
        <w:rPr>
          <w:rFonts w:ascii="Arial" w:hAnsi="Arial" w:cs="Arial"/>
          <w:b/>
          <w:color w:val="000000"/>
          <w:sz w:val="24"/>
          <w:szCs w:val="24"/>
          <w:u w:val="single"/>
        </w:rPr>
      </w:pPr>
    </w:p>
    <w:p w:rsidRPr="006A3BBA" w:rsidR="00F133DE" w:rsidP="006E4363" w:rsidRDefault="006E4363">
      <w:pPr>
        <w:pStyle w:val="Default"/>
      </w:pPr>
      <w:r w:rsidRPr="006A3BBA">
        <w:t xml:space="preserve">The NFF will reflect the variation in labour market costs across the country. The NFF will apply a hybrid area cost adjustment (ACA) which takes into account the general labour market trends and the particular salary variations in the teaching workforce. </w:t>
      </w:r>
    </w:p>
    <w:sectPr w:rsidRPr="006A3BBA" w:rsidR="00F133DE" w:rsidSect="00CB683F">
      <w:pgSz w:w="11906" w:h="16838"/>
      <w:pgMar w:top="567" w:right="849" w:bottom="709" w:left="709" w:header="708" w:footer="4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1FC" w:rsidRDefault="001221FC">
      <w:r>
        <w:separator/>
      </w:r>
    </w:p>
  </w:endnote>
  <w:endnote w:type="continuationSeparator" w:id="0">
    <w:p w:rsidR="001221FC" w:rsidRDefault="00122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9033366"/>
      <w:docPartObj>
        <w:docPartGallery w:val="Page Numbers (Bottom of Page)"/>
        <w:docPartUnique/>
      </w:docPartObj>
    </w:sdtPr>
    <w:sdtEndPr>
      <w:rPr>
        <w:noProof/>
      </w:rPr>
    </w:sdtEndPr>
    <w:sdtContent>
      <w:p w:rsidR="001221FC" w:rsidRDefault="001221FC">
        <w:pPr>
          <w:pStyle w:val="Footer"/>
          <w:jc w:val="center"/>
        </w:pPr>
        <w:r>
          <w:fldChar w:fldCharType="begin"/>
        </w:r>
        <w:r>
          <w:instrText xml:space="preserve"> PAGE   \* MERGEFORMAT </w:instrText>
        </w:r>
        <w:r>
          <w:fldChar w:fldCharType="separate"/>
        </w:r>
        <w:r w:rsidR="008478D2">
          <w:rPr>
            <w:noProof/>
          </w:rPr>
          <w:t>2</w:t>
        </w:r>
        <w:r>
          <w:rPr>
            <w:noProof/>
          </w:rPr>
          <w:fldChar w:fldCharType="end"/>
        </w:r>
      </w:p>
    </w:sdtContent>
  </w:sdt>
  <w:p w:rsidR="001221FC" w:rsidRDefault="001221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1FC" w:rsidRDefault="001221FC">
      <w:r>
        <w:separator/>
      </w:r>
    </w:p>
  </w:footnote>
  <w:footnote w:type="continuationSeparator" w:id="0">
    <w:p w:rsidR="001221FC" w:rsidRDefault="001221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A388A"/>
    <w:multiLevelType w:val="hybridMultilevel"/>
    <w:tmpl w:val="8CF04F10"/>
    <w:lvl w:ilvl="0" w:tplc="FE968C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1B682D"/>
    <w:multiLevelType w:val="hybridMultilevel"/>
    <w:tmpl w:val="AE8A9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9E5940"/>
    <w:multiLevelType w:val="hybridMultilevel"/>
    <w:tmpl w:val="61F80274"/>
    <w:lvl w:ilvl="0" w:tplc="DDC6841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874EC3"/>
    <w:multiLevelType w:val="hybridMultilevel"/>
    <w:tmpl w:val="7070034A"/>
    <w:lvl w:ilvl="0" w:tplc="1632D5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047539"/>
    <w:multiLevelType w:val="hybridMultilevel"/>
    <w:tmpl w:val="A5AEB724"/>
    <w:lvl w:ilvl="0" w:tplc="DE70FE18">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A26995"/>
    <w:multiLevelType w:val="hybridMultilevel"/>
    <w:tmpl w:val="793424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89219AB"/>
    <w:multiLevelType w:val="hybridMultilevel"/>
    <w:tmpl w:val="D0EEE4D6"/>
    <w:lvl w:ilvl="0" w:tplc="54A26090">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8774F6"/>
    <w:multiLevelType w:val="hybridMultilevel"/>
    <w:tmpl w:val="0A9416F0"/>
    <w:lvl w:ilvl="0" w:tplc="4630F3A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014369"/>
    <w:multiLevelType w:val="hybridMultilevel"/>
    <w:tmpl w:val="EDE4D0BE"/>
    <w:lvl w:ilvl="0" w:tplc="3B80E5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1B29D1"/>
    <w:multiLevelType w:val="hybridMultilevel"/>
    <w:tmpl w:val="24E6DB1C"/>
    <w:lvl w:ilvl="0" w:tplc="24C4ED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48E5B93"/>
    <w:multiLevelType w:val="hybridMultilevel"/>
    <w:tmpl w:val="7070034A"/>
    <w:lvl w:ilvl="0" w:tplc="1632D5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7716C6D"/>
    <w:multiLevelType w:val="multilevel"/>
    <w:tmpl w:val="C5EED7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160" w:hanging="1800"/>
      </w:pPr>
      <w:rPr>
        <w:rFonts w:hint="default"/>
        <w:b/>
        <w:u w:val="single"/>
      </w:rPr>
    </w:lvl>
  </w:abstractNum>
  <w:num w:numId="1">
    <w:abstractNumId w:val="7"/>
  </w:num>
  <w:num w:numId="2">
    <w:abstractNumId w:val="9"/>
  </w:num>
  <w:num w:numId="3">
    <w:abstractNumId w:val="5"/>
  </w:num>
  <w:num w:numId="4">
    <w:abstractNumId w:val="2"/>
  </w:num>
  <w:num w:numId="5">
    <w:abstractNumId w:val="0"/>
  </w:num>
  <w:num w:numId="6">
    <w:abstractNumId w:val="11"/>
  </w:num>
  <w:num w:numId="7">
    <w:abstractNumId w:val="6"/>
  </w:num>
  <w:num w:numId="8">
    <w:abstractNumId w:val="4"/>
  </w:num>
  <w:num w:numId="9">
    <w:abstractNumId w:val="8"/>
  </w:num>
  <w:num w:numId="10">
    <w:abstractNumId w:val="1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F84"/>
    <w:rsid w:val="0000769B"/>
    <w:rsid w:val="0001260F"/>
    <w:rsid w:val="000134F6"/>
    <w:rsid w:val="000158AC"/>
    <w:rsid w:val="00021111"/>
    <w:rsid w:val="00022E5B"/>
    <w:rsid w:val="00034FEF"/>
    <w:rsid w:val="00036288"/>
    <w:rsid w:val="0004696E"/>
    <w:rsid w:val="00054DAE"/>
    <w:rsid w:val="00055B98"/>
    <w:rsid w:val="000614FC"/>
    <w:rsid w:val="000A0403"/>
    <w:rsid w:val="000A11DA"/>
    <w:rsid w:val="000B6556"/>
    <w:rsid w:val="000B779B"/>
    <w:rsid w:val="000B785B"/>
    <w:rsid w:val="000C5AE5"/>
    <w:rsid w:val="000E2F11"/>
    <w:rsid w:val="000F43E4"/>
    <w:rsid w:val="000F5A72"/>
    <w:rsid w:val="00102E71"/>
    <w:rsid w:val="0010699E"/>
    <w:rsid w:val="00113B57"/>
    <w:rsid w:val="00113C99"/>
    <w:rsid w:val="00116895"/>
    <w:rsid w:val="001221FC"/>
    <w:rsid w:val="001361FB"/>
    <w:rsid w:val="00146568"/>
    <w:rsid w:val="00171BC6"/>
    <w:rsid w:val="001727B2"/>
    <w:rsid w:val="001743F6"/>
    <w:rsid w:val="00175725"/>
    <w:rsid w:val="00176516"/>
    <w:rsid w:val="00180556"/>
    <w:rsid w:val="00182758"/>
    <w:rsid w:val="001A362B"/>
    <w:rsid w:val="001C28A0"/>
    <w:rsid w:val="001C39B4"/>
    <w:rsid w:val="001C714B"/>
    <w:rsid w:val="001D2F95"/>
    <w:rsid w:val="001E0561"/>
    <w:rsid w:val="001E2633"/>
    <w:rsid w:val="001E4EF0"/>
    <w:rsid w:val="001F19EE"/>
    <w:rsid w:val="00200386"/>
    <w:rsid w:val="00203609"/>
    <w:rsid w:val="00207D85"/>
    <w:rsid w:val="00213571"/>
    <w:rsid w:val="00217A65"/>
    <w:rsid w:val="00222479"/>
    <w:rsid w:val="00235191"/>
    <w:rsid w:val="00236214"/>
    <w:rsid w:val="00237F5C"/>
    <w:rsid w:val="0024359B"/>
    <w:rsid w:val="00271D15"/>
    <w:rsid w:val="002756DE"/>
    <w:rsid w:val="00281F55"/>
    <w:rsid w:val="002868BC"/>
    <w:rsid w:val="00295D53"/>
    <w:rsid w:val="002A1A99"/>
    <w:rsid w:val="002A384E"/>
    <w:rsid w:val="002B4476"/>
    <w:rsid w:val="002C3AAF"/>
    <w:rsid w:val="002C61E6"/>
    <w:rsid w:val="002D5BDC"/>
    <w:rsid w:val="002D5EB0"/>
    <w:rsid w:val="002E2BE6"/>
    <w:rsid w:val="002E5B51"/>
    <w:rsid w:val="003026A7"/>
    <w:rsid w:val="00321C3F"/>
    <w:rsid w:val="00321E13"/>
    <w:rsid w:val="00322988"/>
    <w:rsid w:val="0033046E"/>
    <w:rsid w:val="00331435"/>
    <w:rsid w:val="0033428C"/>
    <w:rsid w:val="00337432"/>
    <w:rsid w:val="003475D0"/>
    <w:rsid w:val="00347F8B"/>
    <w:rsid w:val="00350818"/>
    <w:rsid w:val="003549CA"/>
    <w:rsid w:val="00371504"/>
    <w:rsid w:val="003759D7"/>
    <w:rsid w:val="003B3555"/>
    <w:rsid w:val="003B44C0"/>
    <w:rsid w:val="003B6A91"/>
    <w:rsid w:val="003C427E"/>
    <w:rsid w:val="003C53AA"/>
    <w:rsid w:val="003D1984"/>
    <w:rsid w:val="003E0481"/>
    <w:rsid w:val="003E5887"/>
    <w:rsid w:val="0040692B"/>
    <w:rsid w:val="00407DA0"/>
    <w:rsid w:val="00412F2D"/>
    <w:rsid w:val="00413F84"/>
    <w:rsid w:val="004172F5"/>
    <w:rsid w:val="004321B4"/>
    <w:rsid w:val="00433899"/>
    <w:rsid w:val="0043467F"/>
    <w:rsid w:val="00436371"/>
    <w:rsid w:val="00443577"/>
    <w:rsid w:val="00446D64"/>
    <w:rsid w:val="00471DD2"/>
    <w:rsid w:val="00474140"/>
    <w:rsid w:val="00474D45"/>
    <w:rsid w:val="00475D07"/>
    <w:rsid w:val="00484CF9"/>
    <w:rsid w:val="00486477"/>
    <w:rsid w:val="004B133D"/>
    <w:rsid w:val="004C22CA"/>
    <w:rsid w:val="004F2E31"/>
    <w:rsid w:val="004F73DC"/>
    <w:rsid w:val="0050214B"/>
    <w:rsid w:val="00517AD6"/>
    <w:rsid w:val="0052603D"/>
    <w:rsid w:val="005772E3"/>
    <w:rsid w:val="005903B3"/>
    <w:rsid w:val="00592FB1"/>
    <w:rsid w:val="005B0801"/>
    <w:rsid w:val="005B1182"/>
    <w:rsid w:val="005B5454"/>
    <w:rsid w:val="005C7CBC"/>
    <w:rsid w:val="005D4443"/>
    <w:rsid w:val="005D7324"/>
    <w:rsid w:val="005F211B"/>
    <w:rsid w:val="00603F83"/>
    <w:rsid w:val="006071AD"/>
    <w:rsid w:val="0061335B"/>
    <w:rsid w:val="006171B5"/>
    <w:rsid w:val="0064676F"/>
    <w:rsid w:val="00681134"/>
    <w:rsid w:val="00693F99"/>
    <w:rsid w:val="006A3BBA"/>
    <w:rsid w:val="006B20B9"/>
    <w:rsid w:val="006C2A57"/>
    <w:rsid w:val="006C2C20"/>
    <w:rsid w:val="006D27F0"/>
    <w:rsid w:val="006E4363"/>
    <w:rsid w:val="006F1054"/>
    <w:rsid w:val="006F3E68"/>
    <w:rsid w:val="00701C0E"/>
    <w:rsid w:val="00702B4D"/>
    <w:rsid w:val="00720F4C"/>
    <w:rsid w:val="00721EB6"/>
    <w:rsid w:val="007225E4"/>
    <w:rsid w:val="007272AF"/>
    <w:rsid w:val="007352B5"/>
    <w:rsid w:val="007720D3"/>
    <w:rsid w:val="00782129"/>
    <w:rsid w:val="0079438F"/>
    <w:rsid w:val="00795E5D"/>
    <w:rsid w:val="007B4C20"/>
    <w:rsid w:val="007B614E"/>
    <w:rsid w:val="007C2F06"/>
    <w:rsid w:val="007C4FE2"/>
    <w:rsid w:val="007C7B3F"/>
    <w:rsid w:val="007C7D7A"/>
    <w:rsid w:val="007D0E16"/>
    <w:rsid w:val="007D37F7"/>
    <w:rsid w:val="007D774A"/>
    <w:rsid w:val="007F1EAD"/>
    <w:rsid w:val="00805F59"/>
    <w:rsid w:val="00831991"/>
    <w:rsid w:val="008478D2"/>
    <w:rsid w:val="00866E93"/>
    <w:rsid w:val="00873EBB"/>
    <w:rsid w:val="0087669E"/>
    <w:rsid w:val="00885242"/>
    <w:rsid w:val="00890E62"/>
    <w:rsid w:val="008A25A1"/>
    <w:rsid w:val="008A6600"/>
    <w:rsid w:val="008B0EEA"/>
    <w:rsid w:val="008B2EBE"/>
    <w:rsid w:val="008B4E67"/>
    <w:rsid w:val="008D0714"/>
    <w:rsid w:val="008E1C8A"/>
    <w:rsid w:val="008E2AF0"/>
    <w:rsid w:val="008E4F96"/>
    <w:rsid w:val="008E654F"/>
    <w:rsid w:val="008F393D"/>
    <w:rsid w:val="009045F4"/>
    <w:rsid w:val="00905375"/>
    <w:rsid w:val="00912ECC"/>
    <w:rsid w:val="00916EFD"/>
    <w:rsid w:val="009211D7"/>
    <w:rsid w:val="00936E48"/>
    <w:rsid w:val="00942E13"/>
    <w:rsid w:val="0095421D"/>
    <w:rsid w:val="00976AEA"/>
    <w:rsid w:val="0098050E"/>
    <w:rsid w:val="0099108E"/>
    <w:rsid w:val="00991937"/>
    <w:rsid w:val="009967D4"/>
    <w:rsid w:val="009A4DF8"/>
    <w:rsid w:val="009A5505"/>
    <w:rsid w:val="009B0157"/>
    <w:rsid w:val="009C2509"/>
    <w:rsid w:val="009D4DC1"/>
    <w:rsid w:val="009E5457"/>
    <w:rsid w:val="009F7B2D"/>
    <w:rsid w:val="00A061B2"/>
    <w:rsid w:val="00A1411E"/>
    <w:rsid w:val="00A200DD"/>
    <w:rsid w:val="00A2459D"/>
    <w:rsid w:val="00A31CB5"/>
    <w:rsid w:val="00A370BC"/>
    <w:rsid w:val="00A457CB"/>
    <w:rsid w:val="00A611F7"/>
    <w:rsid w:val="00A62C7A"/>
    <w:rsid w:val="00A66706"/>
    <w:rsid w:val="00A7025E"/>
    <w:rsid w:val="00A727D9"/>
    <w:rsid w:val="00A73FF6"/>
    <w:rsid w:val="00A773EE"/>
    <w:rsid w:val="00A85DC7"/>
    <w:rsid w:val="00A92C95"/>
    <w:rsid w:val="00A93D72"/>
    <w:rsid w:val="00AB4577"/>
    <w:rsid w:val="00AB475D"/>
    <w:rsid w:val="00AB4BC3"/>
    <w:rsid w:val="00AC2D71"/>
    <w:rsid w:val="00AC2F84"/>
    <w:rsid w:val="00AD0EB3"/>
    <w:rsid w:val="00AD2E9E"/>
    <w:rsid w:val="00AD5E6F"/>
    <w:rsid w:val="00AE237C"/>
    <w:rsid w:val="00AF1D01"/>
    <w:rsid w:val="00AF38AE"/>
    <w:rsid w:val="00AF3B2C"/>
    <w:rsid w:val="00B05865"/>
    <w:rsid w:val="00B06AFD"/>
    <w:rsid w:val="00B16390"/>
    <w:rsid w:val="00B25644"/>
    <w:rsid w:val="00B267CB"/>
    <w:rsid w:val="00B33D8B"/>
    <w:rsid w:val="00B45E55"/>
    <w:rsid w:val="00B52892"/>
    <w:rsid w:val="00B66628"/>
    <w:rsid w:val="00B75170"/>
    <w:rsid w:val="00B7689D"/>
    <w:rsid w:val="00B817AB"/>
    <w:rsid w:val="00B912AA"/>
    <w:rsid w:val="00B92C14"/>
    <w:rsid w:val="00BA0943"/>
    <w:rsid w:val="00BA1FAE"/>
    <w:rsid w:val="00BA2071"/>
    <w:rsid w:val="00BA56BE"/>
    <w:rsid w:val="00BB30CF"/>
    <w:rsid w:val="00BB418A"/>
    <w:rsid w:val="00BB59BC"/>
    <w:rsid w:val="00BC6C66"/>
    <w:rsid w:val="00BE00A0"/>
    <w:rsid w:val="00BF6F47"/>
    <w:rsid w:val="00C0419C"/>
    <w:rsid w:val="00C10E19"/>
    <w:rsid w:val="00C251CE"/>
    <w:rsid w:val="00C306BB"/>
    <w:rsid w:val="00C35209"/>
    <w:rsid w:val="00C361CC"/>
    <w:rsid w:val="00C428A5"/>
    <w:rsid w:val="00C5651B"/>
    <w:rsid w:val="00C63F3B"/>
    <w:rsid w:val="00C6420E"/>
    <w:rsid w:val="00C64A5F"/>
    <w:rsid w:val="00C76FD2"/>
    <w:rsid w:val="00C867A0"/>
    <w:rsid w:val="00C877B5"/>
    <w:rsid w:val="00C91CE6"/>
    <w:rsid w:val="00C96924"/>
    <w:rsid w:val="00CA3CA7"/>
    <w:rsid w:val="00CB683F"/>
    <w:rsid w:val="00CC07B7"/>
    <w:rsid w:val="00CC3D30"/>
    <w:rsid w:val="00CD2850"/>
    <w:rsid w:val="00CD58E8"/>
    <w:rsid w:val="00CE074F"/>
    <w:rsid w:val="00CE6429"/>
    <w:rsid w:val="00D029A6"/>
    <w:rsid w:val="00D10D25"/>
    <w:rsid w:val="00D33C97"/>
    <w:rsid w:val="00D3474C"/>
    <w:rsid w:val="00D34BFB"/>
    <w:rsid w:val="00D456B1"/>
    <w:rsid w:val="00D50432"/>
    <w:rsid w:val="00D53892"/>
    <w:rsid w:val="00D5409F"/>
    <w:rsid w:val="00D70D7E"/>
    <w:rsid w:val="00D76F41"/>
    <w:rsid w:val="00DA19F7"/>
    <w:rsid w:val="00DA5ADF"/>
    <w:rsid w:val="00DB1E3F"/>
    <w:rsid w:val="00DC1FD6"/>
    <w:rsid w:val="00DC2536"/>
    <w:rsid w:val="00DD231B"/>
    <w:rsid w:val="00DD2FDC"/>
    <w:rsid w:val="00DE79B6"/>
    <w:rsid w:val="00E10A62"/>
    <w:rsid w:val="00E46198"/>
    <w:rsid w:val="00E5064B"/>
    <w:rsid w:val="00E552E9"/>
    <w:rsid w:val="00E62969"/>
    <w:rsid w:val="00E64BE8"/>
    <w:rsid w:val="00E71A0A"/>
    <w:rsid w:val="00E80A38"/>
    <w:rsid w:val="00E914C9"/>
    <w:rsid w:val="00EA2621"/>
    <w:rsid w:val="00EA4C45"/>
    <w:rsid w:val="00EB04BE"/>
    <w:rsid w:val="00EB3675"/>
    <w:rsid w:val="00EB6AA9"/>
    <w:rsid w:val="00ED5EF6"/>
    <w:rsid w:val="00EE26B0"/>
    <w:rsid w:val="00EE400E"/>
    <w:rsid w:val="00EE4056"/>
    <w:rsid w:val="00EF1706"/>
    <w:rsid w:val="00F133DE"/>
    <w:rsid w:val="00F30DF9"/>
    <w:rsid w:val="00F42632"/>
    <w:rsid w:val="00F43B9F"/>
    <w:rsid w:val="00F46288"/>
    <w:rsid w:val="00F5596B"/>
    <w:rsid w:val="00F55CD1"/>
    <w:rsid w:val="00F62C1C"/>
    <w:rsid w:val="00F65D44"/>
    <w:rsid w:val="00F74232"/>
    <w:rsid w:val="00FA760C"/>
    <w:rsid w:val="00FB245E"/>
    <w:rsid w:val="00FB71EF"/>
    <w:rsid w:val="00FC378C"/>
    <w:rsid w:val="00FC55B3"/>
    <w:rsid w:val="00FC638D"/>
    <w:rsid w:val="00FD6A1C"/>
    <w:rsid w:val="00FE142C"/>
    <w:rsid w:val="00FE370A"/>
    <w:rsid w:val="00FE4B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43CDD1B5-0E46-497D-B866-7EBC679C1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F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F84"/>
    <w:pPr>
      <w:ind w:left="720"/>
      <w:contextualSpacing/>
    </w:pPr>
  </w:style>
  <w:style w:type="character" w:styleId="Hyperlink">
    <w:name w:val="Hyperlink"/>
    <w:basedOn w:val="DefaultParagraphFont"/>
    <w:uiPriority w:val="99"/>
    <w:unhideWhenUsed/>
    <w:rsid w:val="00413F84"/>
    <w:rPr>
      <w:color w:val="0563C1" w:themeColor="hyperlink"/>
      <w:u w:val="single"/>
    </w:rPr>
  </w:style>
  <w:style w:type="table" w:styleId="TableGrid">
    <w:name w:val="Table Grid"/>
    <w:basedOn w:val="TableNormal"/>
    <w:uiPriority w:val="39"/>
    <w:rsid w:val="00413F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21E13"/>
    <w:pPr>
      <w:tabs>
        <w:tab w:val="center" w:pos="4513"/>
        <w:tab w:val="right" w:pos="9026"/>
      </w:tabs>
    </w:pPr>
  </w:style>
  <w:style w:type="character" w:customStyle="1" w:styleId="FooterChar">
    <w:name w:val="Footer Char"/>
    <w:basedOn w:val="DefaultParagraphFont"/>
    <w:link w:val="Footer"/>
    <w:uiPriority w:val="99"/>
    <w:rsid w:val="00321E13"/>
  </w:style>
  <w:style w:type="paragraph" w:styleId="Header">
    <w:name w:val="header"/>
    <w:basedOn w:val="Normal"/>
    <w:link w:val="HeaderChar"/>
    <w:uiPriority w:val="99"/>
    <w:unhideWhenUsed/>
    <w:rsid w:val="0010699E"/>
    <w:pPr>
      <w:tabs>
        <w:tab w:val="center" w:pos="4513"/>
        <w:tab w:val="right" w:pos="9026"/>
      </w:tabs>
    </w:pPr>
  </w:style>
  <w:style w:type="character" w:customStyle="1" w:styleId="HeaderChar">
    <w:name w:val="Header Char"/>
    <w:basedOn w:val="DefaultParagraphFont"/>
    <w:link w:val="Header"/>
    <w:uiPriority w:val="99"/>
    <w:rsid w:val="0010699E"/>
  </w:style>
  <w:style w:type="paragraph" w:styleId="BalloonText">
    <w:name w:val="Balloon Text"/>
    <w:basedOn w:val="Normal"/>
    <w:link w:val="BalloonTextChar"/>
    <w:uiPriority w:val="99"/>
    <w:semiHidden/>
    <w:unhideWhenUsed/>
    <w:rsid w:val="00C76F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FD2"/>
    <w:rPr>
      <w:rFonts w:ascii="Segoe UI" w:hAnsi="Segoe UI" w:cs="Segoe UI"/>
      <w:sz w:val="18"/>
      <w:szCs w:val="18"/>
    </w:rPr>
  </w:style>
  <w:style w:type="paragraph" w:customStyle="1" w:styleId="Default">
    <w:name w:val="Default"/>
    <w:rsid w:val="00B7689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99913">
      <w:bodyDiv w:val="1"/>
      <w:marLeft w:val="0"/>
      <w:marRight w:val="0"/>
      <w:marTop w:val="0"/>
      <w:marBottom w:val="0"/>
      <w:divBdr>
        <w:top w:val="none" w:sz="0" w:space="0" w:color="auto"/>
        <w:left w:val="none" w:sz="0" w:space="0" w:color="auto"/>
        <w:bottom w:val="none" w:sz="0" w:space="0" w:color="auto"/>
        <w:right w:val="none" w:sz="0" w:space="0" w:color="auto"/>
      </w:divBdr>
    </w:div>
    <w:div w:id="55931704">
      <w:bodyDiv w:val="1"/>
      <w:marLeft w:val="0"/>
      <w:marRight w:val="0"/>
      <w:marTop w:val="0"/>
      <w:marBottom w:val="0"/>
      <w:divBdr>
        <w:top w:val="none" w:sz="0" w:space="0" w:color="auto"/>
        <w:left w:val="none" w:sz="0" w:space="0" w:color="auto"/>
        <w:bottom w:val="none" w:sz="0" w:space="0" w:color="auto"/>
        <w:right w:val="none" w:sz="0" w:space="0" w:color="auto"/>
      </w:divBdr>
    </w:div>
    <w:div w:id="61955737">
      <w:bodyDiv w:val="1"/>
      <w:marLeft w:val="0"/>
      <w:marRight w:val="0"/>
      <w:marTop w:val="0"/>
      <w:marBottom w:val="0"/>
      <w:divBdr>
        <w:top w:val="none" w:sz="0" w:space="0" w:color="auto"/>
        <w:left w:val="none" w:sz="0" w:space="0" w:color="auto"/>
        <w:bottom w:val="none" w:sz="0" w:space="0" w:color="auto"/>
        <w:right w:val="none" w:sz="0" w:space="0" w:color="auto"/>
      </w:divBdr>
    </w:div>
    <w:div w:id="1362824285">
      <w:bodyDiv w:val="1"/>
      <w:marLeft w:val="0"/>
      <w:marRight w:val="0"/>
      <w:marTop w:val="0"/>
      <w:marBottom w:val="0"/>
      <w:divBdr>
        <w:top w:val="none" w:sz="0" w:space="0" w:color="auto"/>
        <w:left w:val="none" w:sz="0" w:space="0" w:color="auto"/>
        <w:bottom w:val="none" w:sz="0" w:space="0" w:color="auto"/>
        <w:right w:val="none" w:sz="0" w:space="0" w:color="auto"/>
      </w:divBdr>
    </w:div>
    <w:div w:id="1472553649">
      <w:bodyDiv w:val="1"/>
      <w:marLeft w:val="0"/>
      <w:marRight w:val="0"/>
      <w:marTop w:val="0"/>
      <w:marBottom w:val="0"/>
      <w:divBdr>
        <w:top w:val="none" w:sz="0" w:space="0" w:color="auto"/>
        <w:left w:val="none" w:sz="0" w:space="0" w:color="auto"/>
        <w:bottom w:val="none" w:sz="0" w:space="0" w:color="auto"/>
        <w:right w:val="none" w:sz="0" w:space="0" w:color="auto"/>
      </w:divBdr>
    </w:div>
    <w:div w:id="1771923293">
      <w:bodyDiv w:val="1"/>
      <w:marLeft w:val="0"/>
      <w:marRight w:val="0"/>
      <w:marTop w:val="0"/>
      <w:marBottom w:val="0"/>
      <w:divBdr>
        <w:top w:val="none" w:sz="0" w:space="0" w:color="auto"/>
        <w:left w:val="none" w:sz="0" w:space="0" w:color="auto"/>
        <w:bottom w:val="none" w:sz="0" w:space="0" w:color="auto"/>
        <w:right w:val="none" w:sz="0" w:space="0" w:color="auto"/>
      </w:divBdr>
    </w:div>
    <w:div w:id="1845322027">
      <w:bodyDiv w:val="1"/>
      <w:marLeft w:val="0"/>
      <w:marRight w:val="0"/>
      <w:marTop w:val="0"/>
      <w:marBottom w:val="0"/>
      <w:divBdr>
        <w:top w:val="none" w:sz="0" w:space="0" w:color="auto"/>
        <w:left w:val="none" w:sz="0" w:space="0" w:color="auto"/>
        <w:bottom w:val="none" w:sz="0" w:space="0" w:color="auto"/>
        <w:right w:val="none" w:sz="0" w:space="0" w:color="auto"/>
      </w:divBdr>
    </w:div>
    <w:div w:id="211389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funding@derbyshire.gov.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B609A-6BE3-4B1F-A11A-4589F8224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5974</Words>
  <Characters>34052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39947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2017-11-06 Schools Mainstream consultation</dc:title>
  <dc:subject>
  </dc:subject>
  <dc:creator>Chris Allcock (Childrens Services)</dc:creator>
  <cp:keywords>
  </cp:keywords>
  <dc:description>
  </dc:description>
  <cp:lastModifiedBy>Jo Armstrong</cp:lastModifiedBy>
  <cp:revision>3</cp:revision>
  <cp:lastPrinted>2017-10-26T11:41:00Z</cp:lastPrinted>
  <dcterms:created xsi:type="dcterms:W3CDTF">2017-10-26T15:49:00Z</dcterms:created>
  <dcterms:modified xsi:type="dcterms:W3CDTF">2017-11-21T13:35:19Z</dcterms:modified>
</cp:coreProperties>
</file>