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6033F3" w:rsidR="007C44C9" w:rsidP="002B4E40" w:rsidRDefault="005C15AE">
      <w:pPr>
        <w:jc w:val="center"/>
        <w:rPr>
          <w:rFonts w:cs="Arial"/>
          <w:b/>
          <w:sz w:val="26"/>
          <w:szCs w:val="26"/>
          <w:u w:val="single"/>
        </w:rPr>
      </w:pPr>
      <w:r w:rsidRPr="006033F3">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6BAC2E00" wp14:anchorId="6FF02AF0">
                <wp:simplePos x="0" y="0"/>
                <wp:positionH relativeFrom="column">
                  <wp:posOffset>4970780</wp:posOffset>
                </wp:positionH>
                <wp:positionV relativeFrom="paragraph">
                  <wp:posOffset>-109220</wp:posOffset>
                </wp:positionV>
                <wp:extent cx="1282700"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1403985"/>
                        </a:xfrm>
                        <a:prstGeom prst="rect">
                          <a:avLst/>
                        </a:prstGeom>
                        <a:solidFill>
                          <a:srgbClr val="FFFFFF"/>
                        </a:solidFill>
                        <a:ln w="9525">
                          <a:noFill/>
                          <a:miter lim="800000"/>
                          <a:headEnd/>
                          <a:tailEnd/>
                        </a:ln>
                      </wps:spPr>
                      <wps:txbx>
                        <w:txbxContent>
                          <w:p w:rsidRPr="006D16C5" w:rsidR="00AB1A03" w:rsidP="006D16C5" w:rsidRDefault="00AB1A03">
                            <w:pPr>
                              <w:rPr>
                                <w:sz w:val="26"/>
                                <w:szCs w:val="26"/>
                              </w:rPr>
                            </w:pPr>
                            <w:r>
                              <w:rPr>
                                <w:sz w:val="26"/>
                                <w:szCs w:val="26"/>
                              </w:rPr>
                              <w:t>Agenda Item 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FF02AF0">
                <v:stroke joinstyle="miter"/>
                <v:path gradientshapeok="t" o:connecttype="rect"/>
              </v:shapetype>
              <v:shape id="Text Box 2" style="position:absolute;left:0;text-align:left;margin-left:391.4pt;margin-top:-8.6pt;width:101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">
                <v:textbox style="mso-fit-shape-to-text:t">
                  <w:txbxContent>
                    <w:p w:rsidRPr="006D16C5" w:rsidR="00AB1A03" w:rsidP="006D16C5" w:rsidRDefault="00AB1A03">
                      <w:pPr>
                        <w:rPr>
                          <w:sz w:val="26"/>
                          <w:szCs w:val="26"/>
                        </w:rPr>
                      </w:pPr>
                      <w:r>
                        <w:rPr>
                          <w:sz w:val="26"/>
                          <w:szCs w:val="26"/>
                        </w:rPr>
                        <w:t>Agenda Item 8</w:t>
                      </w:r>
                    </w:p>
                  </w:txbxContent>
                </v:textbox>
              </v:shape>
            </w:pict>
          </mc:Fallback>
        </mc:AlternateContent>
      </w:r>
      <w:r w:rsidRPr="006033F3">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523C70F4" wp14:anchorId="476D96BB">
                <wp:simplePos x="0" y="0"/>
                <wp:positionH relativeFrom="column">
                  <wp:posOffset>77470</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AB1A03" w:rsidRDefault="00AB1A03">
                            <w:pPr>
                              <w:rPr>
                                <w:sz w:val="26"/>
                                <w:szCs w:val="26"/>
                              </w:rPr>
                            </w:pPr>
                            <w:r w:rsidRPr="006D16C5">
                              <w:rPr>
                                <w:sz w:val="26"/>
                                <w:szCs w:val="26"/>
                              </w:rPr>
                              <w:t xml:space="preserve">Rep </w:t>
                            </w:r>
                            <w:r>
                              <w:rPr>
                                <w:sz w:val="26"/>
                                <w:szCs w:val="26"/>
                              </w:rPr>
                              <w:t>716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6.1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" w14:anchorId="476D96BB">
                <v:textbox style="mso-fit-shape-to-text:t">
                  <w:txbxContent>
                    <w:p w:rsidRPr="006D16C5" w:rsidR="00AB1A03" w:rsidRDefault="00AB1A03">
                      <w:pPr>
                        <w:rPr>
                          <w:sz w:val="26"/>
                          <w:szCs w:val="26"/>
                        </w:rPr>
                      </w:pPr>
                      <w:r w:rsidRPr="006D16C5">
                        <w:rPr>
                          <w:sz w:val="26"/>
                          <w:szCs w:val="26"/>
                        </w:rPr>
                        <w:t xml:space="preserve">Rep </w:t>
                      </w:r>
                      <w:r>
                        <w:rPr>
                          <w:sz w:val="26"/>
                          <w:szCs w:val="26"/>
                        </w:rPr>
                        <w:t>716</w:t>
                      </w:r>
                    </w:p>
                  </w:txbxContent>
                </v:textbox>
              </v:shape>
            </w:pict>
          </mc:Fallback>
        </mc:AlternateContent>
      </w:r>
      <w:r w:rsidRPr="006033F3" w:rsidR="002B4E40">
        <w:rPr>
          <w:rFonts w:cs="Arial"/>
          <w:b/>
          <w:sz w:val="26"/>
          <w:szCs w:val="26"/>
          <w:u w:val="single"/>
        </w:rPr>
        <w:t>DERBYSHIRE COUNTY COUNCIL</w:t>
      </w:r>
    </w:p>
    <w:p w:rsidRPr="006033F3" w:rsidR="002B4E40" w:rsidP="002B4E40" w:rsidRDefault="002B4E40">
      <w:pPr>
        <w:jc w:val="center"/>
        <w:rPr>
          <w:rFonts w:cs="Arial"/>
          <w:b/>
          <w:sz w:val="26"/>
          <w:szCs w:val="26"/>
          <w:u w:val="single"/>
        </w:rPr>
      </w:pPr>
    </w:p>
    <w:p w:rsidRPr="006033F3" w:rsidR="002B4E40" w:rsidP="002B4E40" w:rsidRDefault="002B4E40">
      <w:pPr>
        <w:jc w:val="center"/>
        <w:rPr>
          <w:rFonts w:cs="Arial"/>
          <w:b/>
          <w:sz w:val="26"/>
          <w:szCs w:val="26"/>
          <w:u w:val="single"/>
        </w:rPr>
      </w:pPr>
      <w:r w:rsidRPr="006033F3">
        <w:rPr>
          <w:rFonts w:cs="Arial"/>
          <w:b/>
          <w:sz w:val="26"/>
          <w:szCs w:val="26"/>
          <w:u w:val="single"/>
        </w:rPr>
        <w:t>SCHOOLS FORUM</w:t>
      </w:r>
    </w:p>
    <w:p w:rsidRPr="006033F3" w:rsidR="002B4E40" w:rsidP="002B4E40" w:rsidRDefault="002B4E40">
      <w:pPr>
        <w:jc w:val="center"/>
        <w:rPr>
          <w:rFonts w:cs="Arial"/>
          <w:b/>
          <w:sz w:val="26"/>
          <w:szCs w:val="26"/>
          <w:u w:val="single"/>
        </w:rPr>
      </w:pPr>
    </w:p>
    <w:p w:rsidRPr="006033F3" w:rsidR="002B4E40" w:rsidP="002B4E40" w:rsidRDefault="0044304B">
      <w:pPr>
        <w:jc w:val="center"/>
        <w:rPr>
          <w:rFonts w:cs="Arial"/>
          <w:b/>
          <w:sz w:val="26"/>
          <w:szCs w:val="26"/>
          <w:u w:val="single"/>
        </w:rPr>
      </w:pPr>
      <w:r w:rsidRPr="006033F3">
        <w:rPr>
          <w:rFonts w:cs="Arial"/>
          <w:b/>
          <w:sz w:val="26"/>
          <w:szCs w:val="26"/>
          <w:u w:val="single"/>
        </w:rPr>
        <w:t>6</w:t>
      </w:r>
      <w:r w:rsidRPr="006033F3" w:rsidR="00BA7E89">
        <w:rPr>
          <w:rFonts w:cs="Arial"/>
          <w:b/>
          <w:sz w:val="26"/>
          <w:szCs w:val="26"/>
          <w:u w:val="single"/>
          <w:vertAlign w:val="superscript"/>
        </w:rPr>
        <w:t>th</w:t>
      </w:r>
      <w:r w:rsidRPr="006033F3" w:rsidR="00BA7E89">
        <w:rPr>
          <w:rFonts w:cs="Arial"/>
          <w:b/>
          <w:sz w:val="26"/>
          <w:szCs w:val="26"/>
          <w:u w:val="single"/>
        </w:rPr>
        <w:t xml:space="preserve"> </w:t>
      </w:r>
      <w:r w:rsidRPr="006033F3" w:rsidR="00A0266A">
        <w:rPr>
          <w:rFonts w:cs="Arial"/>
          <w:b/>
          <w:sz w:val="26"/>
          <w:szCs w:val="26"/>
          <w:u w:val="single"/>
        </w:rPr>
        <w:t xml:space="preserve">November </w:t>
      </w:r>
      <w:r w:rsidRPr="006033F3" w:rsidR="002B4E40">
        <w:rPr>
          <w:rFonts w:cs="Arial"/>
          <w:b/>
          <w:sz w:val="26"/>
          <w:szCs w:val="26"/>
          <w:u w:val="single"/>
        </w:rPr>
        <w:t>201</w:t>
      </w:r>
      <w:r w:rsidRPr="006033F3">
        <w:rPr>
          <w:rFonts w:cs="Arial"/>
          <w:b/>
          <w:sz w:val="26"/>
          <w:szCs w:val="26"/>
          <w:u w:val="single"/>
        </w:rPr>
        <w:t>7</w:t>
      </w:r>
    </w:p>
    <w:p w:rsidRPr="006033F3" w:rsidR="002B4E40" w:rsidP="002B4E40" w:rsidRDefault="002B4E40">
      <w:pPr>
        <w:jc w:val="center"/>
        <w:rPr>
          <w:rFonts w:cs="Arial"/>
          <w:b/>
          <w:sz w:val="26"/>
          <w:szCs w:val="26"/>
          <w:u w:val="single"/>
        </w:rPr>
      </w:pPr>
    </w:p>
    <w:p w:rsidRPr="006033F3" w:rsidR="002B4E40" w:rsidP="002B4E40" w:rsidRDefault="002B4E40">
      <w:pPr>
        <w:jc w:val="center"/>
        <w:rPr>
          <w:rFonts w:cs="Arial"/>
          <w:b/>
          <w:sz w:val="26"/>
          <w:szCs w:val="26"/>
          <w:u w:val="single"/>
        </w:rPr>
      </w:pPr>
      <w:r w:rsidRPr="006033F3">
        <w:rPr>
          <w:rFonts w:cs="Arial"/>
          <w:b/>
          <w:sz w:val="26"/>
          <w:szCs w:val="26"/>
          <w:u w:val="single"/>
        </w:rPr>
        <w:t>Report of the Strategic Director for Children’s Services</w:t>
      </w:r>
    </w:p>
    <w:p w:rsidRPr="006033F3" w:rsidR="002B4E40" w:rsidP="002B4E40" w:rsidRDefault="002B4E40">
      <w:pPr>
        <w:jc w:val="center"/>
        <w:rPr>
          <w:rFonts w:cs="Arial"/>
          <w:b/>
          <w:sz w:val="26"/>
          <w:szCs w:val="26"/>
          <w:u w:val="single"/>
        </w:rPr>
      </w:pPr>
    </w:p>
    <w:p w:rsidRPr="006033F3" w:rsidR="002B4E40" w:rsidP="002B4E40" w:rsidRDefault="00A0266A">
      <w:pPr>
        <w:jc w:val="center"/>
        <w:rPr>
          <w:rFonts w:cs="Arial"/>
          <w:b/>
          <w:sz w:val="26"/>
          <w:szCs w:val="26"/>
        </w:rPr>
      </w:pPr>
      <w:r w:rsidRPr="006033F3">
        <w:rPr>
          <w:rFonts w:cs="Arial"/>
          <w:b/>
          <w:sz w:val="26"/>
          <w:szCs w:val="26"/>
          <w:u w:val="single"/>
        </w:rPr>
        <w:t>Education Services Grant</w:t>
      </w:r>
    </w:p>
    <w:p w:rsidRPr="006033F3" w:rsidR="002B4E40" w:rsidP="00EC3F61" w:rsidRDefault="002B4E40">
      <w:pPr>
        <w:jc w:val="center"/>
        <w:rPr>
          <w:rFonts w:cs="Arial"/>
          <w:b/>
          <w:sz w:val="26"/>
          <w:szCs w:val="26"/>
        </w:rPr>
      </w:pPr>
    </w:p>
    <w:p w:rsidRPr="006033F3" w:rsidR="002B4E40" w:rsidP="00EC3F61" w:rsidRDefault="002B4E40">
      <w:pPr>
        <w:pStyle w:val="ListParagraph"/>
        <w:numPr>
          <w:ilvl w:val="0"/>
          <w:numId w:val="1"/>
        </w:numPr>
        <w:ind w:left="709" w:hanging="709"/>
        <w:rPr>
          <w:rFonts w:cs="Arial"/>
          <w:b/>
          <w:sz w:val="26"/>
          <w:szCs w:val="26"/>
        </w:rPr>
      </w:pPr>
      <w:r w:rsidRPr="006033F3">
        <w:rPr>
          <w:rFonts w:cs="Arial"/>
          <w:b/>
          <w:sz w:val="26"/>
          <w:szCs w:val="26"/>
          <w:u w:val="single"/>
        </w:rPr>
        <w:t>Purpose of the Report</w:t>
      </w:r>
    </w:p>
    <w:p w:rsidRPr="006033F3" w:rsidR="002B4E40" w:rsidP="00EC3F61" w:rsidRDefault="002B4E40">
      <w:pPr>
        <w:ind w:left="709" w:hanging="709"/>
        <w:rPr>
          <w:rFonts w:cs="Arial"/>
          <w:b/>
          <w:sz w:val="26"/>
          <w:szCs w:val="26"/>
        </w:rPr>
      </w:pPr>
    </w:p>
    <w:p w:rsidRPr="006033F3" w:rsidR="005C15AE" w:rsidP="00EC3F61" w:rsidRDefault="005C15AE">
      <w:pPr>
        <w:rPr>
          <w:rFonts w:cs="Arial"/>
          <w:b/>
          <w:sz w:val="26"/>
          <w:szCs w:val="26"/>
        </w:rPr>
      </w:pPr>
      <w:r w:rsidRPr="006033F3">
        <w:rPr>
          <w:rFonts w:cs="Arial"/>
          <w:sz w:val="26"/>
          <w:szCs w:val="26"/>
        </w:rPr>
        <w:t xml:space="preserve">To </w:t>
      </w:r>
      <w:r w:rsidR="00B97D1F">
        <w:rPr>
          <w:rFonts w:cs="Arial"/>
          <w:sz w:val="26"/>
          <w:szCs w:val="26"/>
        </w:rPr>
        <w:t xml:space="preserve">ask </w:t>
      </w:r>
      <w:r w:rsidRPr="006033F3">
        <w:rPr>
          <w:rFonts w:cs="Arial"/>
          <w:sz w:val="26"/>
          <w:szCs w:val="26"/>
        </w:rPr>
        <w:t xml:space="preserve">Schools Forum </w:t>
      </w:r>
      <w:r w:rsidR="00B97D1F">
        <w:rPr>
          <w:rFonts w:cs="Arial"/>
          <w:sz w:val="26"/>
          <w:szCs w:val="26"/>
        </w:rPr>
        <w:t>to determine the funding arrangements for 2018-19 for services previously funded by the Education Services Grant - General Duties</w:t>
      </w:r>
      <w:r w:rsidRPr="006033F3" w:rsidR="00A0266A">
        <w:rPr>
          <w:rFonts w:cs="Arial"/>
          <w:sz w:val="26"/>
          <w:szCs w:val="26"/>
        </w:rPr>
        <w:t>.</w:t>
      </w:r>
    </w:p>
    <w:p w:rsidRPr="006033F3" w:rsidR="005C15AE" w:rsidP="00EC3F61" w:rsidRDefault="005C15AE">
      <w:pPr>
        <w:ind w:left="709" w:hanging="709"/>
        <w:rPr>
          <w:rFonts w:cs="Arial"/>
          <w:b/>
          <w:sz w:val="26"/>
          <w:szCs w:val="26"/>
        </w:rPr>
      </w:pPr>
    </w:p>
    <w:p w:rsidRPr="006033F3" w:rsidR="002B4E40" w:rsidP="00EC3F61" w:rsidRDefault="002B4E40">
      <w:pPr>
        <w:pStyle w:val="ListParagraph"/>
        <w:numPr>
          <w:ilvl w:val="0"/>
          <w:numId w:val="1"/>
        </w:numPr>
        <w:ind w:left="709" w:hanging="709"/>
        <w:rPr>
          <w:rFonts w:cs="Arial"/>
          <w:b/>
          <w:sz w:val="26"/>
          <w:szCs w:val="26"/>
        </w:rPr>
      </w:pPr>
      <w:r w:rsidRPr="006033F3">
        <w:rPr>
          <w:rFonts w:cs="Arial"/>
          <w:b/>
          <w:sz w:val="26"/>
          <w:szCs w:val="26"/>
          <w:u w:val="single"/>
        </w:rPr>
        <w:t>Information and Analysis</w:t>
      </w:r>
    </w:p>
    <w:p w:rsidRPr="006033F3" w:rsidR="008619E4" w:rsidP="00EC3F61" w:rsidRDefault="008619E4">
      <w:pPr>
        <w:rPr>
          <w:rFonts w:cs="Arial"/>
          <w:b/>
          <w:sz w:val="26"/>
          <w:szCs w:val="26"/>
        </w:rPr>
      </w:pPr>
    </w:p>
    <w:p w:rsidRPr="006033F3" w:rsidR="00A0266A" w:rsidP="00A0266A" w:rsidRDefault="00A0266A">
      <w:pPr>
        <w:rPr>
          <w:rFonts w:cs="Arial"/>
          <w:b/>
          <w:sz w:val="26"/>
          <w:szCs w:val="26"/>
        </w:rPr>
      </w:pPr>
      <w:r w:rsidRPr="006033F3">
        <w:rPr>
          <w:rFonts w:cs="Arial"/>
          <w:b/>
          <w:sz w:val="26"/>
          <w:szCs w:val="26"/>
        </w:rPr>
        <w:t>2.1</w:t>
      </w:r>
      <w:r w:rsidRPr="006033F3">
        <w:rPr>
          <w:rFonts w:cs="Arial"/>
          <w:b/>
          <w:sz w:val="26"/>
          <w:szCs w:val="26"/>
        </w:rPr>
        <w:tab/>
      </w:r>
      <w:r w:rsidRPr="006033F3">
        <w:rPr>
          <w:rFonts w:cs="Arial"/>
          <w:b/>
          <w:sz w:val="26"/>
          <w:szCs w:val="26"/>
          <w:u w:val="single"/>
        </w:rPr>
        <w:t>Background</w:t>
      </w:r>
      <w:r w:rsidRPr="006033F3">
        <w:rPr>
          <w:rFonts w:cs="Arial"/>
          <w:b/>
          <w:sz w:val="26"/>
          <w:szCs w:val="26"/>
        </w:rPr>
        <w:t xml:space="preserve"> </w:t>
      </w:r>
    </w:p>
    <w:p w:rsidRPr="006033F3" w:rsidR="00A0266A" w:rsidP="00A0266A" w:rsidRDefault="00A0266A">
      <w:pPr>
        <w:rPr>
          <w:rFonts w:cs="Arial"/>
          <w:b/>
          <w:sz w:val="26"/>
          <w:szCs w:val="26"/>
        </w:rPr>
      </w:pPr>
    </w:p>
    <w:p w:rsidRPr="006033F3" w:rsidR="00A0266A" w:rsidP="00A0266A" w:rsidRDefault="00A0266A">
      <w:pPr>
        <w:rPr>
          <w:rFonts w:cs="Arial"/>
          <w:sz w:val="26"/>
          <w:szCs w:val="26"/>
        </w:rPr>
      </w:pPr>
      <w:r w:rsidRPr="006033F3">
        <w:rPr>
          <w:rFonts w:cs="Arial"/>
          <w:sz w:val="26"/>
          <w:szCs w:val="26"/>
        </w:rPr>
        <w:t xml:space="preserve">The Chancellor of the Exchequer’s 2015 Autumn Statement announced that the Education Services Grant (ESG) would cease at the end of August 2017. The ESG </w:t>
      </w:r>
      <w:r w:rsidR="00B97D1F">
        <w:rPr>
          <w:rFonts w:cs="Arial"/>
          <w:sz w:val="26"/>
          <w:szCs w:val="26"/>
        </w:rPr>
        <w:t xml:space="preserve">was </w:t>
      </w:r>
      <w:r w:rsidRPr="006033F3">
        <w:rPr>
          <w:rFonts w:cs="Arial"/>
          <w:sz w:val="26"/>
          <w:szCs w:val="26"/>
        </w:rPr>
        <w:t>in two parts:</w:t>
      </w:r>
    </w:p>
    <w:p w:rsidRPr="006033F3" w:rsidR="00A0266A" w:rsidP="00A0266A" w:rsidRDefault="00A0266A">
      <w:pPr>
        <w:rPr>
          <w:rFonts w:cs="Arial"/>
          <w:sz w:val="26"/>
          <w:szCs w:val="26"/>
        </w:rPr>
      </w:pPr>
    </w:p>
    <w:p w:rsidRPr="006033F3" w:rsidR="00A0266A" w:rsidP="00A0266A" w:rsidRDefault="00A0266A">
      <w:pPr>
        <w:rPr>
          <w:rFonts w:cs="Arial"/>
          <w:sz w:val="26"/>
          <w:szCs w:val="26"/>
        </w:rPr>
      </w:pPr>
      <w:r w:rsidRPr="006033F3">
        <w:rPr>
          <w:rFonts w:cs="Arial"/>
          <w:b/>
          <w:sz w:val="26"/>
          <w:szCs w:val="26"/>
        </w:rPr>
        <w:t xml:space="preserve">ESG Retained Duties </w:t>
      </w:r>
      <w:r w:rsidRPr="006033F3" w:rsidR="0044304B">
        <w:rPr>
          <w:rFonts w:cs="Arial"/>
          <w:sz w:val="26"/>
          <w:szCs w:val="26"/>
        </w:rPr>
        <w:t>–</w:t>
      </w:r>
      <w:r w:rsidRPr="006033F3">
        <w:rPr>
          <w:rFonts w:cs="Arial"/>
          <w:sz w:val="26"/>
          <w:szCs w:val="26"/>
        </w:rPr>
        <w:t xml:space="preserve"> </w:t>
      </w:r>
      <w:r w:rsidRPr="006033F3" w:rsidR="0044304B">
        <w:rPr>
          <w:rFonts w:cs="Arial"/>
          <w:sz w:val="26"/>
          <w:szCs w:val="26"/>
        </w:rPr>
        <w:t xml:space="preserve">was </w:t>
      </w:r>
      <w:r w:rsidRPr="006033F3">
        <w:rPr>
          <w:rFonts w:cs="Arial"/>
          <w:sz w:val="26"/>
          <w:szCs w:val="26"/>
        </w:rPr>
        <w:t xml:space="preserve">paid to local authorities on the basis of the number of pupils in schools </w:t>
      </w:r>
      <w:r w:rsidRPr="006033F3">
        <w:rPr>
          <w:rFonts w:cs="Arial"/>
          <w:sz w:val="26"/>
          <w:szCs w:val="26"/>
          <w:u w:val="single"/>
        </w:rPr>
        <w:t>and</w:t>
      </w:r>
      <w:r w:rsidRPr="006033F3">
        <w:rPr>
          <w:rFonts w:cs="Arial"/>
          <w:sz w:val="26"/>
          <w:szCs w:val="26"/>
        </w:rPr>
        <w:t xml:space="preserve"> academies at the rate of £15 per pupil and is designed to support authorities for </w:t>
      </w:r>
      <w:r w:rsidRPr="006033F3" w:rsidR="0044304B">
        <w:rPr>
          <w:rFonts w:cs="Arial"/>
          <w:sz w:val="26"/>
          <w:szCs w:val="26"/>
        </w:rPr>
        <w:t xml:space="preserve">a range of </w:t>
      </w:r>
      <w:r w:rsidRPr="006033F3">
        <w:rPr>
          <w:rFonts w:cs="Arial"/>
          <w:sz w:val="26"/>
          <w:szCs w:val="26"/>
        </w:rPr>
        <w:t xml:space="preserve">responsibilities </w:t>
      </w:r>
      <w:r w:rsidRPr="006033F3" w:rsidR="0044304B">
        <w:rPr>
          <w:rFonts w:cs="Arial"/>
          <w:sz w:val="26"/>
          <w:szCs w:val="26"/>
        </w:rPr>
        <w:t xml:space="preserve">for </w:t>
      </w:r>
      <w:r w:rsidRPr="006033F3">
        <w:rPr>
          <w:rFonts w:cs="Arial"/>
          <w:sz w:val="26"/>
          <w:szCs w:val="26"/>
          <w:u w:val="single"/>
        </w:rPr>
        <w:t>all</w:t>
      </w:r>
      <w:r w:rsidRPr="006033F3">
        <w:rPr>
          <w:rFonts w:cs="Arial"/>
          <w:sz w:val="26"/>
          <w:szCs w:val="26"/>
        </w:rPr>
        <w:t xml:space="preserve"> institutions. </w:t>
      </w:r>
      <w:r w:rsidRPr="006033F3" w:rsidR="0044304B">
        <w:rPr>
          <w:rFonts w:cs="Arial"/>
          <w:sz w:val="26"/>
          <w:szCs w:val="26"/>
        </w:rPr>
        <w:t xml:space="preserve">For 2017-18 the grant was </w:t>
      </w:r>
      <w:r w:rsidRPr="006033F3" w:rsidR="004042FD">
        <w:rPr>
          <w:rFonts w:cs="Arial"/>
          <w:sz w:val="26"/>
          <w:szCs w:val="26"/>
        </w:rPr>
        <w:t xml:space="preserve">absorbed </w:t>
      </w:r>
      <w:r w:rsidRPr="006033F3" w:rsidR="0044304B">
        <w:rPr>
          <w:rFonts w:cs="Arial"/>
          <w:sz w:val="26"/>
          <w:szCs w:val="26"/>
        </w:rPr>
        <w:t xml:space="preserve">into the overall Dedicated Schools Grant </w:t>
      </w:r>
      <w:r w:rsidRPr="006033F3" w:rsidR="00850DBA">
        <w:rPr>
          <w:rFonts w:cs="Arial"/>
          <w:sz w:val="26"/>
          <w:szCs w:val="26"/>
        </w:rPr>
        <w:t xml:space="preserve">at the rate of £15 per pupil </w:t>
      </w:r>
      <w:r w:rsidRPr="006033F3" w:rsidR="0044304B">
        <w:rPr>
          <w:rFonts w:cs="Arial"/>
          <w:sz w:val="26"/>
          <w:szCs w:val="26"/>
        </w:rPr>
        <w:t xml:space="preserve">and for 2018-19 will continue as part of the new Central School Services Block of the DSG. </w:t>
      </w:r>
      <w:r w:rsidRPr="006033F3">
        <w:rPr>
          <w:rFonts w:cs="Arial"/>
          <w:sz w:val="26"/>
          <w:szCs w:val="26"/>
        </w:rPr>
        <w:t>The total grant in 201</w:t>
      </w:r>
      <w:r w:rsidRPr="006033F3" w:rsidR="0044304B">
        <w:rPr>
          <w:rFonts w:cs="Arial"/>
          <w:sz w:val="26"/>
          <w:szCs w:val="26"/>
        </w:rPr>
        <w:t>7</w:t>
      </w:r>
      <w:r w:rsidRPr="006033F3">
        <w:rPr>
          <w:rFonts w:cs="Arial"/>
          <w:sz w:val="26"/>
          <w:szCs w:val="26"/>
        </w:rPr>
        <w:t>-1</w:t>
      </w:r>
      <w:r w:rsidRPr="006033F3" w:rsidR="0044304B">
        <w:rPr>
          <w:rFonts w:cs="Arial"/>
          <w:sz w:val="26"/>
          <w:szCs w:val="26"/>
        </w:rPr>
        <w:t>8</w:t>
      </w:r>
      <w:r w:rsidRPr="006033F3">
        <w:rPr>
          <w:rFonts w:cs="Arial"/>
          <w:sz w:val="26"/>
          <w:szCs w:val="26"/>
        </w:rPr>
        <w:t xml:space="preserve"> is </w:t>
      </w:r>
      <w:r w:rsidRPr="006033F3" w:rsidR="00850DBA">
        <w:rPr>
          <w:rFonts w:cs="Arial"/>
          <w:sz w:val="26"/>
          <w:szCs w:val="26"/>
        </w:rPr>
        <w:t xml:space="preserve">worth </w:t>
      </w:r>
      <w:r w:rsidRPr="006033F3" w:rsidR="00954587">
        <w:rPr>
          <w:rFonts w:cs="Arial"/>
          <w:sz w:val="26"/>
          <w:szCs w:val="26"/>
        </w:rPr>
        <w:t xml:space="preserve">around </w:t>
      </w:r>
      <w:r w:rsidRPr="006033F3">
        <w:rPr>
          <w:rFonts w:cs="Arial"/>
          <w:sz w:val="26"/>
          <w:szCs w:val="26"/>
        </w:rPr>
        <w:t>£1.</w:t>
      </w:r>
      <w:r w:rsidRPr="006033F3" w:rsidR="0044304B">
        <w:rPr>
          <w:rFonts w:cs="Arial"/>
          <w:sz w:val="26"/>
          <w:szCs w:val="26"/>
        </w:rPr>
        <w:t>6</w:t>
      </w:r>
      <w:r w:rsidRPr="006033F3">
        <w:rPr>
          <w:rFonts w:cs="Arial"/>
          <w:sz w:val="26"/>
          <w:szCs w:val="26"/>
        </w:rPr>
        <w:t>m.</w:t>
      </w:r>
    </w:p>
    <w:p w:rsidRPr="006033F3" w:rsidR="00A0266A" w:rsidP="00A0266A" w:rsidRDefault="00A0266A">
      <w:pPr>
        <w:rPr>
          <w:rFonts w:cs="Arial"/>
          <w:sz w:val="26"/>
          <w:szCs w:val="26"/>
        </w:rPr>
      </w:pPr>
    </w:p>
    <w:p w:rsidRPr="006033F3" w:rsidR="00A0266A" w:rsidP="00A0266A" w:rsidRDefault="00A0266A">
      <w:pPr>
        <w:rPr>
          <w:rFonts w:cs="Arial"/>
          <w:sz w:val="26"/>
          <w:szCs w:val="26"/>
        </w:rPr>
      </w:pPr>
      <w:r w:rsidRPr="006033F3">
        <w:rPr>
          <w:rFonts w:cs="Arial"/>
          <w:b/>
          <w:sz w:val="26"/>
          <w:szCs w:val="26"/>
        </w:rPr>
        <w:t>ESG General Duties</w:t>
      </w:r>
      <w:r w:rsidRPr="006033F3">
        <w:rPr>
          <w:rFonts w:cs="Arial"/>
          <w:sz w:val="26"/>
          <w:szCs w:val="26"/>
        </w:rPr>
        <w:t xml:space="preserve"> </w:t>
      </w:r>
      <w:r w:rsidRPr="006033F3" w:rsidR="00850DBA">
        <w:rPr>
          <w:rFonts w:cs="Arial"/>
          <w:sz w:val="26"/>
          <w:szCs w:val="26"/>
        </w:rPr>
        <w:t>–</w:t>
      </w:r>
      <w:r w:rsidRPr="006033F3">
        <w:rPr>
          <w:rFonts w:cs="Arial"/>
          <w:sz w:val="26"/>
          <w:szCs w:val="26"/>
        </w:rPr>
        <w:t xml:space="preserve"> </w:t>
      </w:r>
      <w:r w:rsidRPr="006033F3" w:rsidR="00850DBA">
        <w:rPr>
          <w:rFonts w:cs="Arial"/>
          <w:sz w:val="26"/>
          <w:szCs w:val="26"/>
        </w:rPr>
        <w:t xml:space="preserve">was </w:t>
      </w:r>
      <w:r w:rsidRPr="006033F3">
        <w:rPr>
          <w:rFonts w:cs="Arial"/>
          <w:sz w:val="26"/>
          <w:szCs w:val="26"/>
        </w:rPr>
        <w:t>paid to local authorities in respect of maintained schools, and to academies</w:t>
      </w:r>
      <w:r w:rsidR="00B97D1F">
        <w:rPr>
          <w:rFonts w:cs="Arial"/>
          <w:sz w:val="26"/>
          <w:szCs w:val="26"/>
        </w:rPr>
        <w:t xml:space="preserve"> directly</w:t>
      </w:r>
      <w:r w:rsidRPr="006033F3">
        <w:rPr>
          <w:rFonts w:cs="Arial"/>
          <w:sz w:val="26"/>
          <w:szCs w:val="26"/>
        </w:rPr>
        <w:t>, to enable them to fund their respective responsibilities</w:t>
      </w:r>
      <w:r w:rsidRPr="006033F3" w:rsidR="006B3EA6">
        <w:rPr>
          <w:rFonts w:cs="Arial"/>
          <w:sz w:val="26"/>
          <w:szCs w:val="26"/>
        </w:rPr>
        <w:t xml:space="preserve">. The statutory functions covered by the grant are </w:t>
      </w:r>
      <w:r w:rsidRPr="006033F3">
        <w:rPr>
          <w:rFonts w:cs="Arial"/>
          <w:sz w:val="26"/>
          <w:szCs w:val="26"/>
        </w:rPr>
        <w:t xml:space="preserve">set out in Appendix </w:t>
      </w:r>
      <w:r w:rsidRPr="006033F3" w:rsidR="0044304B">
        <w:rPr>
          <w:rFonts w:cs="Arial"/>
          <w:sz w:val="26"/>
          <w:szCs w:val="26"/>
        </w:rPr>
        <w:t>1</w:t>
      </w:r>
      <w:r w:rsidRPr="006033F3">
        <w:rPr>
          <w:rFonts w:cs="Arial"/>
          <w:sz w:val="26"/>
          <w:szCs w:val="26"/>
        </w:rPr>
        <w:t xml:space="preserve">. </w:t>
      </w:r>
      <w:r w:rsidRPr="006033F3" w:rsidR="0044304B">
        <w:rPr>
          <w:rFonts w:cs="Arial"/>
          <w:sz w:val="26"/>
          <w:szCs w:val="26"/>
        </w:rPr>
        <w:t xml:space="preserve">At the point that the grant ended in August 2017 </w:t>
      </w:r>
      <w:r w:rsidR="002463B9">
        <w:rPr>
          <w:rFonts w:cs="Arial"/>
          <w:sz w:val="26"/>
          <w:szCs w:val="26"/>
        </w:rPr>
        <w:t xml:space="preserve">it </w:t>
      </w:r>
      <w:r w:rsidRPr="006033F3" w:rsidR="004042FD">
        <w:rPr>
          <w:rFonts w:cs="Arial"/>
          <w:sz w:val="26"/>
          <w:szCs w:val="26"/>
        </w:rPr>
        <w:t xml:space="preserve">was worth </w:t>
      </w:r>
      <w:r w:rsidRPr="006033F3">
        <w:rPr>
          <w:rFonts w:cs="Arial"/>
          <w:sz w:val="26"/>
          <w:szCs w:val="26"/>
        </w:rPr>
        <w:t>£</w:t>
      </w:r>
      <w:r w:rsidRPr="006033F3" w:rsidR="004042FD">
        <w:rPr>
          <w:rFonts w:cs="Arial"/>
          <w:sz w:val="26"/>
          <w:szCs w:val="26"/>
        </w:rPr>
        <w:t>66</w:t>
      </w:r>
      <w:r w:rsidR="002463B9">
        <w:rPr>
          <w:rFonts w:cs="Arial"/>
          <w:sz w:val="26"/>
          <w:szCs w:val="26"/>
        </w:rPr>
        <w:t>.00</w:t>
      </w:r>
      <w:r w:rsidRPr="006033F3">
        <w:rPr>
          <w:rFonts w:cs="Arial"/>
          <w:sz w:val="26"/>
          <w:szCs w:val="26"/>
        </w:rPr>
        <w:t>, £2</w:t>
      </w:r>
      <w:r w:rsidRPr="006033F3" w:rsidR="004042FD">
        <w:rPr>
          <w:rFonts w:cs="Arial"/>
          <w:sz w:val="26"/>
          <w:szCs w:val="26"/>
        </w:rPr>
        <w:t>47.50</w:t>
      </w:r>
      <w:r w:rsidRPr="006033F3">
        <w:rPr>
          <w:rFonts w:cs="Arial"/>
          <w:sz w:val="26"/>
          <w:szCs w:val="26"/>
        </w:rPr>
        <w:t xml:space="preserve"> and £</w:t>
      </w:r>
      <w:r w:rsidRPr="006033F3" w:rsidR="004042FD">
        <w:rPr>
          <w:rFonts w:cs="Arial"/>
          <w:sz w:val="26"/>
          <w:szCs w:val="26"/>
        </w:rPr>
        <w:t>280.50</w:t>
      </w:r>
      <w:r w:rsidRPr="006033F3">
        <w:rPr>
          <w:rFonts w:cs="Arial"/>
          <w:sz w:val="26"/>
          <w:szCs w:val="26"/>
        </w:rPr>
        <w:t xml:space="preserve"> </w:t>
      </w:r>
      <w:r w:rsidRPr="006033F3" w:rsidR="006B3EA6">
        <w:rPr>
          <w:rFonts w:cs="Arial"/>
          <w:sz w:val="26"/>
          <w:szCs w:val="26"/>
        </w:rPr>
        <w:t xml:space="preserve">for each </w:t>
      </w:r>
      <w:r w:rsidRPr="006033F3">
        <w:rPr>
          <w:rFonts w:cs="Arial"/>
          <w:sz w:val="26"/>
          <w:szCs w:val="26"/>
        </w:rPr>
        <w:t xml:space="preserve">mainstream pupil, PRU place </w:t>
      </w:r>
      <w:r w:rsidRPr="006033F3" w:rsidR="006B3EA6">
        <w:rPr>
          <w:rFonts w:cs="Arial"/>
          <w:sz w:val="26"/>
          <w:szCs w:val="26"/>
        </w:rPr>
        <w:t>&amp;</w:t>
      </w:r>
      <w:r w:rsidRPr="006033F3">
        <w:rPr>
          <w:rFonts w:cs="Arial"/>
          <w:sz w:val="26"/>
          <w:szCs w:val="26"/>
        </w:rPr>
        <w:t xml:space="preserve"> special school place respectively.</w:t>
      </w:r>
    </w:p>
    <w:p w:rsidRPr="006033F3" w:rsidR="00A0266A" w:rsidP="00A0266A" w:rsidRDefault="00A0266A">
      <w:pPr>
        <w:rPr>
          <w:rFonts w:cs="Arial"/>
          <w:sz w:val="26"/>
          <w:szCs w:val="26"/>
        </w:rPr>
      </w:pPr>
    </w:p>
    <w:p w:rsidRPr="006033F3" w:rsidR="00F608BD" w:rsidP="00A0266A" w:rsidRDefault="00F608BD">
      <w:pPr>
        <w:rPr>
          <w:rFonts w:cs="Arial"/>
          <w:b/>
          <w:sz w:val="26"/>
          <w:szCs w:val="26"/>
          <w:u w:val="single"/>
        </w:rPr>
      </w:pPr>
      <w:r w:rsidRPr="006033F3">
        <w:rPr>
          <w:rFonts w:cs="Arial"/>
          <w:b/>
          <w:sz w:val="26"/>
          <w:szCs w:val="26"/>
        </w:rPr>
        <w:t>2.2</w:t>
      </w:r>
      <w:r w:rsidRPr="006033F3">
        <w:rPr>
          <w:rFonts w:cs="Arial"/>
          <w:b/>
          <w:sz w:val="26"/>
          <w:szCs w:val="26"/>
        </w:rPr>
        <w:tab/>
      </w:r>
      <w:r w:rsidRPr="006033F3">
        <w:rPr>
          <w:rFonts w:cs="Arial"/>
          <w:b/>
          <w:sz w:val="26"/>
          <w:szCs w:val="26"/>
          <w:u w:val="single"/>
        </w:rPr>
        <w:t>Impact in 2017-18</w:t>
      </w:r>
    </w:p>
    <w:p w:rsidRPr="006033F3" w:rsidR="00F608BD" w:rsidP="00A0266A" w:rsidRDefault="00F608BD">
      <w:pPr>
        <w:rPr>
          <w:rFonts w:cs="Arial"/>
          <w:sz w:val="26"/>
          <w:szCs w:val="26"/>
        </w:rPr>
      </w:pPr>
    </w:p>
    <w:p w:rsidRPr="006033F3" w:rsidR="00850DBA" w:rsidP="00A0266A" w:rsidRDefault="002463B9">
      <w:pPr>
        <w:rPr>
          <w:rFonts w:cs="Arial"/>
          <w:sz w:val="26"/>
          <w:szCs w:val="26"/>
        </w:rPr>
      </w:pPr>
      <w:r>
        <w:rPr>
          <w:rFonts w:cs="Arial"/>
          <w:sz w:val="26"/>
          <w:szCs w:val="26"/>
        </w:rPr>
        <w:t xml:space="preserve">In order to help mitigate the effects of the loss of grant, </w:t>
      </w:r>
      <w:r w:rsidRPr="006033F3" w:rsidR="006B3EA6">
        <w:rPr>
          <w:rFonts w:cs="Arial"/>
          <w:sz w:val="26"/>
          <w:szCs w:val="26"/>
        </w:rPr>
        <w:t>t</w:t>
      </w:r>
      <w:r w:rsidRPr="006033F3" w:rsidR="004042FD">
        <w:rPr>
          <w:rFonts w:cs="Arial"/>
          <w:sz w:val="26"/>
          <w:szCs w:val="26"/>
        </w:rPr>
        <w:t xml:space="preserve">he DfE made </w:t>
      </w:r>
      <w:r w:rsidRPr="006033F3" w:rsidR="00850DBA">
        <w:rPr>
          <w:rFonts w:cs="Arial"/>
          <w:sz w:val="26"/>
          <w:szCs w:val="26"/>
        </w:rPr>
        <w:t xml:space="preserve">three </w:t>
      </w:r>
      <w:r w:rsidRPr="006033F3" w:rsidR="004042FD">
        <w:rPr>
          <w:rFonts w:cs="Arial"/>
          <w:sz w:val="26"/>
          <w:szCs w:val="26"/>
        </w:rPr>
        <w:t>changes</w:t>
      </w:r>
      <w:r w:rsidRPr="006033F3" w:rsidR="006B3EA6">
        <w:rPr>
          <w:rFonts w:cs="Arial"/>
          <w:sz w:val="26"/>
          <w:szCs w:val="26"/>
        </w:rPr>
        <w:t>:</w:t>
      </w:r>
      <w:r w:rsidRPr="006033F3" w:rsidR="004042FD">
        <w:rPr>
          <w:rFonts w:cs="Arial"/>
          <w:sz w:val="26"/>
          <w:szCs w:val="26"/>
        </w:rPr>
        <w:t xml:space="preserve"> </w:t>
      </w:r>
    </w:p>
    <w:p w:rsidRPr="006033F3" w:rsidR="00850DBA" w:rsidP="00A0266A" w:rsidRDefault="00850DBA">
      <w:pPr>
        <w:rPr>
          <w:rFonts w:cs="Arial"/>
          <w:sz w:val="22"/>
          <w:szCs w:val="26"/>
        </w:rPr>
      </w:pPr>
    </w:p>
    <w:p w:rsidRPr="006033F3" w:rsidR="00850DBA" w:rsidP="00850DBA" w:rsidRDefault="00850DBA">
      <w:pPr>
        <w:pStyle w:val="ListParagraph"/>
        <w:numPr>
          <w:ilvl w:val="0"/>
          <w:numId w:val="37"/>
        </w:numPr>
        <w:rPr>
          <w:rFonts w:cs="Arial"/>
          <w:sz w:val="26"/>
          <w:szCs w:val="26"/>
        </w:rPr>
      </w:pPr>
      <w:r w:rsidRPr="006033F3">
        <w:rPr>
          <w:rFonts w:cs="Arial"/>
          <w:sz w:val="26"/>
          <w:szCs w:val="26"/>
        </w:rPr>
        <w:t xml:space="preserve">A new </w:t>
      </w:r>
      <w:r w:rsidRPr="006033F3" w:rsidR="006B3EA6">
        <w:rPr>
          <w:rFonts w:cs="Arial"/>
          <w:sz w:val="26"/>
          <w:szCs w:val="26"/>
        </w:rPr>
        <w:t xml:space="preserve">£50m </w:t>
      </w:r>
      <w:r w:rsidRPr="006033F3">
        <w:rPr>
          <w:rFonts w:cs="Arial"/>
          <w:sz w:val="26"/>
          <w:szCs w:val="26"/>
        </w:rPr>
        <w:t xml:space="preserve">national grant was announced </w:t>
      </w:r>
      <w:r w:rsidRPr="006033F3" w:rsidR="004042FD">
        <w:rPr>
          <w:rFonts w:cs="Arial"/>
          <w:sz w:val="26"/>
          <w:szCs w:val="26"/>
        </w:rPr>
        <w:t>from August 2017 to suppo</w:t>
      </w:r>
      <w:r w:rsidRPr="006033F3">
        <w:rPr>
          <w:rFonts w:cs="Arial"/>
          <w:sz w:val="26"/>
          <w:szCs w:val="26"/>
        </w:rPr>
        <w:t xml:space="preserve">rt school improvement services; </w:t>
      </w:r>
    </w:p>
    <w:p w:rsidRPr="006033F3" w:rsidR="006B3EA6" w:rsidP="006B3EA6" w:rsidRDefault="006B3EA6">
      <w:pPr>
        <w:pStyle w:val="ListParagraph"/>
        <w:ind w:left="1080"/>
        <w:rPr>
          <w:rFonts w:cs="Arial"/>
          <w:sz w:val="12"/>
          <w:szCs w:val="26"/>
        </w:rPr>
      </w:pPr>
    </w:p>
    <w:p w:rsidRPr="006033F3" w:rsidR="006B3EA6" w:rsidP="006B3EA6" w:rsidRDefault="002463B9">
      <w:pPr>
        <w:pStyle w:val="ListParagraph"/>
        <w:numPr>
          <w:ilvl w:val="0"/>
          <w:numId w:val="37"/>
        </w:numPr>
        <w:ind w:left="1077"/>
        <w:rPr>
          <w:rFonts w:cs="Arial"/>
          <w:sz w:val="26"/>
          <w:szCs w:val="26"/>
        </w:rPr>
      </w:pPr>
      <w:r>
        <w:rPr>
          <w:rFonts w:cs="Arial"/>
          <w:sz w:val="26"/>
          <w:szCs w:val="26"/>
        </w:rPr>
        <w:t>Regulations were amended to a</w:t>
      </w:r>
      <w:r w:rsidR="009F5779">
        <w:rPr>
          <w:rFonts w:cs="Arial"/>
          <w:sz w:val="26"/>
          <w:szCs w:val="26"/>
        </w:rPr>
        <w:t>llow f</w:t>
      </w:r>
      <w:r w:rsidRPr="006033F3" w:rsidR="00850DBA">
        <w:rPr>
          <w:rFonts w:cs="Arial"/>
          <w:sz w:val="26"/>
          <w:szCs w:val="26"/>
        </w:rPr>
        <w:t xml:space="preserve">unding </w:t>
      </w:r>
      <w:r w:rsidR="009F5779">
        <w:rPr>
          <w:rFonts w:cs="Arial"/>
          <w:sz w:val="26"/>
          <w:szCs w:val="26"/>
        </w:rPr>
        <w:t xml:space="preserve">to </w:t>
      </w:r>
      <w:r w:rsidRPr="006033F3" w:rsidR="00850DBA">
        <w:rPr>
          <w:rFonts w:cs="Arial"/>
          <w:sz w:val="26"/>
          <w:szCs w:val="26"/>
        </w:rPr>
        <w:t xml:space="preserve">be top-sliced from schools’ delegated budgets for all of the former ESG General Duties-funded functions, with the exception of school improvement services; and </w:t>
      </w:r>
    </w:p>
    <w:p w:rsidRPr="006033F3" w:rsidR="006B3EA6" w:rsidP="006B3EA6" w:rsidRDefault="006B3EA6">
      <w:pPr>
        <w:pStyle w:val="ListParagraph"/>
        <w:rPr>
          <w:rFonts w:cs="Arial"/>
          <w:sz w:val="12"/>
          <w:szCs w:val="26"/>
        </w:rPr>
      </w:pPr>
    </w:p>
    <w:p w:rsidRPr="006033F3" w:rsidR="00850DBA" w:rsidP="00850DBA" w:rsidRDefault="002463B9">
      <w:pPr>
        <w:pStyle w:val="ListParagraph"/>
        <w:numPr>
          <w:ilvl w:val="0"/>
          <w:numId w:val="37"/>
        </w:numPr>
        <w:rPr>
          <w:rFonts w:cs="Arial"/>
          <w:sz w:val="26"/>
          <w:szCs w:val="26"/>
        </w:rPr>
      </w:pPr>
      <w:r>
        <w:rPr>
          <w:rFonts w:cs="Arial"/>
          <w:sz w:val="26"/>
          <w:szCs w:val="26"/>
        </w:rPr>
        <w:t xml:space="preserve">The previous list of services for which funding could be de-delegated e.g. </w:t>
      </w:r>
      <w:r>
        <w:rPr>
          <w:rFonts w:cs="Arial"/>
          <w:sz w:val="26"/>
          <w:szCs w:val="26"/>
        </w:rPr>
        <w:t>(insurance, contingencies etc.)</w:t>
      </w:r>
      <w:r>
        <w:rPr>
          <w:rFonts w:cs="Arial"/>
          <w:sz w:val="26"/>
          <w:szCs w:val="26"/>
        </w:rPr>
        <w:t xml:space="preserve"> was extended to include </w:t>
      </w:r>
      <w:r w:rsidRPr="006033F3" w:rsidR="00850DBA">
        <w:rPr>
          <w:rFonts w:cs="Arial"/>
          <w:sz w:val="26"/>
          <w:szCs w:val="26"/>
        </w:rPr>
        <w:t>additional school improvement services</w:t>
      </w:r>
      <w:r>
        <w:rPr>
          <w:rFonts w:cs="Arial"/>
          <w:sz w:val="26"/>
          <w:szCs w:val="26"/>
        </w:rPr>
        <w:t>.</w:t>
      </w:r>
      <w:r w:rsidRPr="006033F3" w:rsidR="00850DBA">
        <w:rPr>
          <w:rFonts w:cs="Arial"/>
          <w:sz w:val="26"/>
          <w:szCs w:val="26"/>
        </w:rPr>
        <w:t xml:space="preserve"> </w:t>
      </w:r>
    </w:p>
    <w:p w:rsidR="002463B9" w:rsidP="00A0266A" w:rsidRDefault="002463B9">
      <w:pPr>
        <w:rPr>
          <w:rFonts w:cs="Arial"/>
          <w:sz w:val="26"/>
          <w:szCs w:val="26"/>
        </w:rPr>
      </w:pPr>
    </w:p>
    <w:p w:rsidRPr="006033F3" w:rsidR="00850DBA" w:rsidP="00A0266A" w:rsidRDefault="00850DBA">
      <w:pPr>
        <w:rPr>
          <w:rFonts w:cs="Arial"/>
          <w:sz w:val="26"/>
          <w:szCs w:val="26"/>
        </w:rPr>
      </w:pPr>
      <w:r w:rsidRPr="006033F3">
        <w:rPr>
          <w:rFonts w:cs="Arial"/>
          <w:sz w:val="26"/>
          <w:szCs w:val="26"/>
        </w:rPr>
        <w:lastRenderedPageBreak/>
        <w:t xml:space="preserve">The Schools Forum considered this matter at its January </w:t>
      </w:r>
      <w:r w:rsidRPr="006033F3" w:rsidR="00F608BD">
        <w:rPr>
          <w:rFonts w:cs="Arial"/>
          <w:sz w:val="26"/>
          <w:szCs w:val="26"/>
        </w:rPr>
        <w:t xml:space="preserve">2017 </w:t>
      </w:r>
      <w:r w:rsidRPr="006033F3">
        <w:rPr>
          <w:rFonts w:cs="Arial"/>
          <w:sz w:val="26"/>
          <w:szCs w:val="26"/>
        </w:rPr>
        <w:t>meeting and agreed to re-pool funding for additional school improvement services and top-slice funding for school redundancy costs from schools’ budgets. The Forum agreed to release monies from DSG reserves so that</w:t>
      </w:r>
      <w:r w:rsidRPr="006033F3" w:rsidR="006B3EA6">
        <w:rPr>
          <w:rFonts w:cs="Arial"/>
          <w:sz w:val="26"/>
          <w:szCs w:val="26"/>
        </w:rPr>
        <w:t>,</w:t>
      </w:r>
      <w:r w:rsidRPr="006033F3" w:rsidR="005158E4">
        <w:rPr>
          <w:rFonts w:cs="Arial"/>
          <w:sz w:val="26"/>
          <w:szCs w:val="26"/>
        </w:rPr>
        <w:t xml:space="preserve"> in effect</w:t>
      </w:r>
      <w:r w:rsidRPr="006033F3" w:rsidR="006B3EA6">
        <w:rPr>
          <w:rFonts w:cs="Arial"/>
          <w:sz w:val="26"/>
          <w:szCs w:val="26"/>
        </w:rPr>
        <w:t>,</w:t>
      </w:r>
      <w:r w:rsidRPr="006033F3" w:rsidR="005158E4">
        <w:rPr>
          <w:rFonts w:cs="Arial"/>
          <w:sz w:val="26"/>
          <w:szCs w:val="26"/>
        </w:rPr>
        <w:t xml:space="preserve"> </w:t>
      </w:r>
      <w:r w:rsidRPr="006033F3">
        <w:rPr>
          <w:rFonts w:cs="Arial"/>
          <w:sz w:val="26"/>
          <w:szCs w:val="26"/>
        </w:rPr>
        <w:t xml:space="preserve">all schools </w:t>
      </w:r>
      <w:r w:rsidRPr="006033F3" w:rsidR="005158E4">
        <w:rPr>
          <w:rFonts w:cs="Arial"/>
          <w:sz w:val="26"/>
          <w:szCs w:val="26"/>
        </w:rPr>
        <w:t>and academies were compensated for the</w:t>
      </w:r>
      <w:r w:rsidRPr="006033F3" w:rsidR="006B3EA6">
        <w:rPr>
          <w:rFonts w:cs="Arial"/>
          <w:sz w:val="26"/>
          <w:szCs w:val="26"/>
        </w:rPr>
        <w:t xml:space="preserve"> additional costs </w:t>
      </w:r>
      <w:r w:rsidRPr="006033F3" w:rsidR="005158E4">
        <w:rPr>
          <w:rFonts w:cs="Arial"/>
          <w:sz w:val="26"/>
          <w:szCs w:val="26"/>
        </w:rPr>
        <w:t>in 2017-18.</w:t>
      </w:r>
    </w:p>
    <w:p w:rsidRPr="006033F3" w:rsidR="00850DBA" w:rsidP="00A0266A" w:rsidRDefault="00850DBA">
      <w:pPr>
        <w:rPr>
          <w:rFonts w:cs="Arial"/>
          <w:sz w:val="26"/>
          <w:szCs w:val="26"/>
        </w:rPr>
      </w:pPr>
    </w:p>
    <w:p w:rsidRPr="006033F3" w:rsidR="00F608BD" w:rsidP="00A0266A" w:rsidRDefault="00F608BD">
      <w:pPr>
        <w:rPr>
          <w:rFonts w:cs="Arial"/>
          <w:b/>
          <w:sz w:val="26"/>
          <w:szCs w:val="26"/>
        </w:rPr>
      </w:pPr>
      <w:r w:rsidRPr="006033F3">
        <w:rPr>
          <w:rFonts w:cs="Arial"/>
          <w:b/>
          <w:sz w:val="26"/>
          <w:szCs w:val="26"/>
        </w:rPr>
        <w:t>2.3</w:t>
      </w:r>
      <w:r w:rsidRPr="006033F3">
        <w:rPr>
          <w:rFonts w:cs="Arial"/>
          <w:b/>
          <w:sz w:val="26"/>
          <w:szCs w:val="26"/>
        </w:rPr>
        <w:tab/>
      </w:r>
      <w:r w:rsidRPr="006033F3">
        <w:rPr>
          <w:rFonts w:cs="Arial"/>
          <w:b/>
          <w:sz w:val="26"/>
          <w:szCs w:val="26"/>
          <w:u w:val="single"/>
        </w:rPr>
        <w:t>Issues for 2018-19</w:t>
      </w:r>
    </w:p>
    <w:p w:rsidRPr="006033F3" w:rsidR="00F608BD" w:rsidP="00A0266A" w:rsidRDefault="00F608BD">
      <w:pPr>
        <w:rPr>
          <w:rFonts w:cs="Arial"/>
          <w:sz w:val="26"/>
          <w:szCs w:val="26"/>
        </w:rPr>
      </w:pPr>
    </w:p>
    <w:p w:rsidRPr="006033F3" w:rsidR="00850DBA" w:rsidP="00A0266A" w:rsidRDefault="00850DBA">
      <w:pPr>
        <w:rPr>
          <w:rFonts w:cs="Arial"/>
          <w:sz w:val="26"/>
          <w:szCs w:val="26"/>
        </w:rPr>
      </w:pPr>
      <w:r w:rsidRPr="006033F3">
        <w:rPr>
          <w:rFonts w:cs="Arial"/>
          <w:sz w:val="26"/>
          <w:szCs w:val="26"/>
        </w:rPr>
        <w:t xml:space="preserve">The funding of school improvement </w:t>
      </w:r>
      <w:r w:rsidRPr="006033F3" w:rsidR="005158E4">
        <w:rPr>
          <w:rFonts w:cs="Arial"/>
          <w:sz w:val="26"/>
          <w:szCs w:val="26"/>
        </w:rPr>
        <w:t xml:space="preserve">services </w:t>
      </w:r>
      <w:r w:rsidRPr="006033F3">
        <w:rPr>
          <w:rFonts w:cs="Arial"/>
          <w:sz w:val="26"/>
          <w:szCs w:val="26"/>
        </w:rPr>
        <w:t xml:space="preserve">and school redundancy costs </w:t>
      </w:r>
      <w:r w:rsidRPr="006033F3" w:rsidR="005158E4">
        <w:rPr>
          <w:rFonts w:cs="Arial"/>
          <w:sz w:val="26"/>
          <w:szCs w:val="26"/>
        </w:rPr>
        <w:t xml:space="preserve">for 2018-19 </w:t>
      </w:r>
      <w:r w:rsidRPr="006033F3">
        <w:rPr>
          <w:rFonts w:cs="Arial"/>
          <w:sz w:val="26"/>
          <w:szCs w:val="26"/>
        </w:rPr>
        <w:t xml:space="preserve">for </w:t>
      </w:r>
      <w:r w:rsidRPr="006033F3" w:rsidR="005158E4">
        <w:rPr>
          <w:rFonts w:cs="Arial"/>
          <w:sz w:val="26"/>
          <w:szCs w:val="26"/>
        </w:rPr>
        <w:t xml:space="preserve">mainstream schools </w:t>
      </w:r>
      <w:r w:rsidRPr="006033F3" w:rsidR="008E5378">
        <w:rPr>
          <w:rFonts w:cs="Arial"/>
          <w:sz w:val="26"/>
          <w:szCs w:val="26"/>
        </w:rPr>
        <w:t xml:space="preserve">have been considered </w:t>
      </w:r>
      <w:r w:rsidRPr="006033F3">
        <w:rPr>
          <w:rFonts w:cs="Arial"/>
          <w:sz w:val="26"/>
          <w:szCs w:val="26"/>
        </w:rPr>
        <w:t>under the previous item on this agenda.</w:t>
      </w:r>
      <w:r w:rsidRPr="006033F3" w:rsidR="008E5378">
        <w:rPr>
          <w:rFonts w:cs="Arial"/>
          <w:sz w:val="26"/>
          <w:szCs w:val="26"/>
        </w:rPr>
        <w:t xml:space="preserve"> </w:t>
      </w:r>
      <w:r w:rsidRPr="006033F3">
        <w:rPr>
          <w:rFonts w:cs="Arial"/>
          <w:sz w:val="26"/>
          <w:szCs w:val="26"/>
        </w:rPr>
        <w:t>This leaves</w:t>
      </w:r>
      <w:r w:rsidRPr="006033F3" w:rsidR="005158E4">
        <w:rPr>
          <w:rFonts w:cs="Arial"/>
          <w:sz w:val="26"/>
          <w:szCs w:val="26"/>
        </w:rPr>
        <w:t xml:space="preserve"> </w:t>
      </w:r>
      <w:r w:rsidRPr="006033F3">
        <w:rPr>
          <w:rFonts w:cs="Arial"/>
          <w:sz w:val="26"/>
          <w:szCs w:val="26"/>
        </w:rPr>
        <w:t>th</w:t>
      </w:r>
      <w:r w:rsidRPr="006033F3" w:rsidR="005158E4">
        <w:rPr>
          <w:rFonts w:cs="Arial"/>
          <w:sz w:val="26"/>
          <w:szCs w:val="26"/>
        </w:rPr>
        <w:t>e</w:t>
      </w:r>
      <w:r w:rsidRPr="006033F3">
        <w:rPr>
          <w:rFonts w:cs="Arial"/>
          <w:sz w:val="26"/>
          <w:szCs w:val="26"/>
        </w:rPr>
        <w:t xml:space="preserve"> question of </w:t>
      </w:r>
      <w:r w:rsidRPr="006033F3" w:rsidR="006B3EA6">
        <w:rPr>
          <w:rFonts w:cs="Arial"/>
          <w:sz w:val="26"/>
          <w:szCs w:val="26"/>
        </w:rPr>
        <w:t xml:space="preserve">how to fund </w:t>
      </w:r>
      <w:r w:rsidRPr="006033F3">
        <w:rPr>
          <w:rFonts w:cs="Arial"/>
          <w:sz w:val="26"/>
          <w:szCs w:val="26"/>
        </w:rPr>
        <w:t>the remaini</w:t>
      </w:r>
      <w:r w:rsidRPr="006033F3" w:rsidR="005158E4">
        <w:rPr>
          <w:rFonts w:cs="Arial"/>
          <w:sz w:val="26"/>
          <w:szCs w:val="26"/>
        </w:rPr>
        <w:t>ng ESG General Duties functions.</w:t>
      </w:r>
    </w:p>
    <w:p w:rsidRPr="006033F3" w:rsidR="00850DBA" w:rsidP="00A0266A" w:rsidRDefault="00850DBA">
      <w:pPr>
        <w:rPr>
          <w:rFonts w:cs="Arial"/>
          <w:sz w:val="26"/>
          <w:szCs w:val="26"/>
        </w:rPr>
      </w:pPr>
    </w:p>
    <w:p w:rsidRPr="006033F3" w:rsidR="005A67B3" w:rsidP="00A0266A" w:rsidRDefault="00A0266A">
      <w:pPr>
        <w:rPr>
          <w:rFonts w:cs="Arial"/>
          <w:sz w:val="26"/>
          <w:szCs w:val="26"/>
        </w:rPr>
      </w:pPr>
      <w:r w:rsidRPr="006033F3">
        <w:rPr>
          <w:rFonts w:cs="Arial"/>
          <w:sz w:val="26"/>
          <w:szCs w:val="26"/>
        </w:rPr>
        <w:t xml:space="preserve">Appendix </w:t>
      </w:r>
      <w:r w:rsidRPr="006033F3" w:rsidR="005158E4">
        <w:rPr>
          <w:rFonts w:cs="Arial"/>
          <w:sz w:val="26"/>
          <w:szCs w:val="26"/>
        </w:rPr>
        <w:t>1</w:t>
      </w:r>
      <w:r w:rsidRPr="006033F3">
        <w:rPr>
          <w:rFonts w:cs="Arial"/>
          <w:sz w:val="26"/>
          <w:szCs w:val="26"/>
        </w:rPr>
        <w:t xml:space="preserve"> gives an indication of the services </w:t>
      </w:r>
      <w:r w:rsidRPr="006033F3" w:rsidR="00954587">
        <w:rPr>
          <w:rFonts w:cs="Arial"/>
          <w:sz w:val="26"/>
          <w:szCs w:val="26"/>
        </w:rPr>
        <w:t xml:space="preserve">funded via the </w:t>
      </w:r>
      <w:r w:rsidRPr="006033F3">
        <w:rPr>
          <w:rFonts w:cs="Arial"/>
          <w:sz w:val="26"/>
          <w:szCs w:val="26"/>
        </w:rPr>
        <w:t>General Duties ESG</w:t>
      </w:r>
      <w:r w:rsidRPr="006033F3" w:rsidR="00F608BD">
        <w:rPr>
          <w:rFonts w:cs="Arial"/>
          <w:sz w:val="26"/>
          <w:szCs w:val="26"/>
        </w:rPr>
        <w:t xml:space="preserve"> and</w:t>
      </w:r>
      <w:r w:rsidR="002463B9">
        <w:rPr>
          <w:rFonts w:cs="Arial"/>
          <w:sz w:val="26"/>
          <w:szCs w:val="26"/>
        </w:rPr>
        <w:t>,</w:t>
      </w:r>
      <w:r w:rsidRPr="006033F3" w:rsidR="00F608BD">
        <w:rPr>
          <w:rFonts w:cs="Arial"/>
          <w:sz w:val="26"/>
          <w:szCs w:val="26"/>
        </w:rPr>
        <w:t xml:space="preserve"> where available</w:t>
      </w:r>
      <w:r w:rsidR="002463B9">
        <w:rPr>
          <w:rFonts w:cs="Arial"/>
          <w:sz w:val="26"/>
          <w:szCs w:val="26"/>
        </w:rPr>
        <w:t>,</w:t>
      </w:r>
      <w:r w:rsidRPr="006033F3" w:rsidR="00F608BD">
        <w:rPr>
          <w:rFonts w:cs="Arial"/>
          <w:sz w:val="26"/>
          <w:szCs w:val="26"/>
        </w:rPr>
        <w:t xml:space="preserve"> </w:t>
      </w:r>
      <w:r w:rsidR="009F5779">
        <w:rPr>
          <w:rFonts w:cs="Arial"/>
          <w:sz w:val="26"/>
          <w:szCs w:val="26"/>
        </w:rPr>
        <w:t xml:space="preserve">the estimated </w:t>
      </w:r>
      <w:r w:rsidRPr="006033F3" w:rsidR="00F608BD">
        <w:rPr>
          <w:rFonts w:cs="Arial"/>
          <w:sz w:val="26"/>
          <w:szCs w:val="26"/>
        </w:rPr>
        <w:t>current cost</w:t>
      </w:r>
      <w:r w:rsidRPr="006033F3">
        <w:rPr>
          <w:rFonts w:cs="Arial"/>
          <w:sz w:val="26"/>
          <w:szCs w:val="26"/>
        </w:rPr>
        <w:t xml:space="preserve">.  </w:t>
      </w:r>
      <w:r w:rsidRPr="006033F3" w:rsidR="00F608BD">
        <w:rPr>
          <w:rFonts w:cs="Arial"/>
          <w:sz w:val="26"/>
          <w:szCs w:val="26"/>
        </w:rPr>
        <w:t>The services listed are statutory functions so the work must be undertaken</w:t>
      </w:r>
      <w:r w:rsidR="00B84C26">
        <w:rPr>
          <w:rFonts w:cs="Arial"/>
          <w:sz w:val="26"/>
          <w:szCs w:val="26"/>
        </w:rPr>
        <w:t xml:space="preserve">, either by schools or the local authority. </w:t>
      </w:r>
    </w:p>
    <w:p w:rsidRPr="006033F3" w:rsidR="005A67B3" w:rsidP="00A0266A" w:rsidRDefault="005A67B3">
      <w:pPr>
        <w:rPr>
          <w:rFonts w:cs="Arial"/>
          <w:sz w:val="26"/>
          <w:szCs w:val="26"/>
        </w:rPr>
      </w:pPr>
    </w:p>
    <w:p w:rsidRPr="006033F3" w:rsidR="00F608BD" w:rsidP="00A0266A" w:rsidRDefault="00F608BD">
      <w:pPr>
        <w:rPr>
          <w:rFonts w:cs="Arial"/>
          <w:sz w:val="26"/>
          <w:szCs w:val="26"/>
        </w:rPr>
      </w:pPr>
      <w:r w:rsidRPr="006033F3">
        <w:rPr>
          <w:rFonts w:cs="Arial"/>
          <w:sz w:val="26"/>
          <w:szCs w:val="26"/>
        </w:rPr>
        <w:t>The options going forward are therefore:</w:t>
      </w:r>
    </w:p>
    <w:p w:rsidRPr="006033F3" w:rsidR="00F608BD" w:rsidP="00A0266A" w:rsidRDefault="00F608BD">
      <w:pPr>
        <w:rPr>
          <w:rFonts w:cs="Arial"/>
          <w:sz w:val="26"/>
          <w:szCs w:val="26"/>
        </w:rPr>
      </w:pPr>
    </w:p>
    <w:p w:rsidRPr="006033F3" w:rsidR="00F608BD" w:rsidP="00F608BD" w:rsidRDefault="009F5779">
      <w:pPr>
        <w:pStyle w:val="ListParagraph"/>
        <w:numPr>
          <w:ilvl w:val="0"/>
          <w:numId w:val="43"/>
        </w:numPr>
        <w:rPr>
          <w:rFonts w:cs="Arial"/>
          <w:sz w:val="26"/>
          <w:szCs w:val="26"/>
        </w:rPr>
      </w:pPr>
      <w:r>
        <w:rPr>
          <w:rFonts w:cs="Arial"/>
          <w:sz w:val="26"/>
          <w:szCs w:val="26"/>
        </w:rPr>
        <w:t xml:space="preserve">To </w:t>
      </w:r>
      <w:r w:rsidRPr="006033F3" w:rsidR="00F608BD">
        <w:rPr>
          <w:rFonts w:cs="Arial"/>
          <w:sz w:val="26"/>
          <w:szCs w:val="26"/>
        </w:rPr>
        <w:t>top-slice funding from schools’ budgets;</w:t>
      </w:r>
      <w:r w:rsidRPr="006033F3" w:rsidR="006B3EA6">
        <w:rPr>
          <w:rFonts w:cs="Arial"/>
          <w:sz w:val="26"/>
          <w:szCs w:val="26"/>
        </w:rPr>
        <w:t xml:space="preserve"> and/or</w:t>
      </w:r>
    </w:p>
    <w:p w:rsidRPr="006033F3" w:rsidR="00F608BD" w:rsidP="00F608BD" w:rsidRDefault="009F5779">
      <w:pPr>
        <w:pStyle w:val="ListParagraph"/>
        <w:numPr>
          <w:ilvl w:val="0"/>
          <w:numId w:val="43"/>
        </w:numPr>
        <w:rPr>
          <w:rFonts w:cs="Arial"/>
          <w:sz w:val="26"/>
          <w:szCs w:val="26"/>
        </w:rPr>
      </w:pPr>
      <w:r>
        <w:rPr>
          <w:rFonts w:cs="Arial"/>
          <w:sz w:val="26"/>
          <w:szCs w:val="26"/>
        </w:rPr>
        <w:t xml:space="preserve">For </w:t>
      </w:r>
      <w:r w:rsidRPr="006033F3" w:rsidR="00F608BD">
        <w:rPr>
          <w:rFonts w:cs="Arial"/>
          <w:sz w:val="26"/>
          <w:szCs w:val="26"/>
        </w:rPr>
        <w:t>t</w:t>
      </w:r>
      <w:r>
        <w:rPr>
          <w:rFonts w:cs="Arial"/>
          <w:sz w:val="26"/>
          <w:szCs w:val="26"/>
        </w:rPr>
        <w:t>he LA to carry out the work and charge individual schools</w:t>
      </w:r>
      <w:r w:rsidRPr="006033F3" w:rsidR="00F608BD">
        <w:rPr>
          <w:rFonts w:cs="Arial"/>
          <w:sz w:val="26"/>
          <w:szCs w:val="26"/>
        </w:rPr>
        <w:t xml:space="preserve">; </w:t>
      </w:r>
      <w:r w:rsidRPr="006033F3" w:rsidR="006B3EA6">
        <w:rPr>
          <w:rFonts w:cs="Arial"/>
          <w:sz w:val="26"/>
          <w:szCs w:val="26"/>
        </w:rPr>
        <w:t>and/or</w:t>
      </w:r>
    </w:p>
    <w:p w:rsidRPr="006033F3" w:rsidR="00F608BD" w:rsidP="00F608BD" w:rsidRDefault="00F608BD">
      <w:pPr>
        <w:pStyle w:val="ListParagraph"/>
        <w:numPr>
          <w:ilvl w:val="0"/>
          <w:numId w:val="43"/>
        </w:numPr>
        <w:rPr>
          <w:rFonts w:cs="Arial"/>
          <w:sz w:val="26"/>
          <w:szCs w:val="26"/>
        </w:rPr>
      </w:pPr>
      <w:proofErr w:type="gramStart"/>
      <w:r w:rsidRPr="006033F3">
        <w:rPr>
          <w:rFonts w:cs="Arial"/>
          <w:sz w:val="26"/>
          <w:szCs w:val="26"/>
        </w:rPr>
        <w:t>require</w:t>
      </w:r>
      <w:proofErr w:type="gramEnd"/>
      <w:r w:rsidRPr="006033F3">
        <w:rPr>
          <w:rFonts w:cs="Arial"/>
          <w:sz w:val="26"/>
          <w:szCs w:val="26"/>
        </w:rPr>
        <w:t xml:space="preserve"> schools to undertake the work themselves</w:t>
      </w:r>
      <w:r w:rsidRPr="006033F3" w:rsidR="007A1900">
        <w:rPr>
          <w:rFonts w:cs="Arial"/>
          <w:sz w:val="26"/>
          <w:szCs w:val="26"/>
        </w:rPr>
        <w:t>.</w:t>
      </w:r>
    </w:p>
    <w:p w:rsidRPr="006033F3" w:rsidR="00A0266A" w:rsidP="00EC3F61" w:rsidRDefault="00A0266A">
      <w:pPr>
        <w:rPr>
          <w:rFonts w:cs="Arial"/>
          <w:b/>
          <w:sz w:val="26"/>
          <w:szCs w:val="26"/>
        </w:rPr>
      </w:pPr>
    </w:p>
    <w:p w:rsidRPr="006033F3" w:rsidR="00735A48" w:rsidP="00A0266A" w:rsidRDefault="00D85B8B">
      <w:pPr>
        <w:rPr>
          <w:rFonts w:cs="Arial"/>
          <w:sz w:val="26"/>
          <w:szCs w:val="26"/>
        </w:rPr>
      </w:pPr>
      <w:r>
        <w:rPr>
          <w:rFonts w:cs="Arial"/>
          <w:sz w:val="26"/>
          <w:szCs w:val="26"/>
        </w:rPr>
        <w:t xml:space="preserve">The costs set out in Appendix 1 have been </w:t>
      </w:r>
      <w:r w:rsidRPr="006033F3" w:rsidR="00735A48">
        <w:rPr>
          <w:rFonts w:cs="Arial"/>
          <w:sz w:val="26"/>
          <w:szCs w:val="26"/>
        </w:rPr>
        <w:t>summarise</w:t>
      </w:r>
      <w:r w:rsidR="009F5779">
        <w:rPr>
          <w:rFonts w:cs="Arial"/>
          <w:sz w:val="26"/>
          <w:szCs w:val="26"/>
        </w:rPr>
        <w:t>d</w:t>
      </w:r>
      <w:r w:rsidRPr="006033F3" w:rsidR="00735A48">
        <w:rPr>
          <w:rFonts w:cs="Arial"/>
          <w:sz w:val="26"/>
          <w:szCs w:val="26"/>
        </w:rPr>
        <w:t xml:space="preserve"> </w:t>
      </w:r>
      <w:r w:rsidR="00B84C26">
        <w:rPr>
          <w:rFonts w:cs="Arial"/>
          <w:sz w:val="26"/>
          <w:szCs w:val="26"/>
        </w:rPr>
        <w:t xml:space="preserve">in </w:t>
      </w:r>
      <w:r>
        <w:rPr>
          <w:rFonts w:cs="Arial"/>
          <w:sz w:val="26"/>
          <w:szCs w:val="26"/>
        </w:rPr>
        <w:t xml:space="preserve">Table </w:t>
      </w:r>
      <w:r w:rsidR="00B84C26">
        <w:rPr>
          <w:rFonts w:cs="Arial"/>
          <w:sz w:val="26"/>
          <w:szCs w:val="26"/>
        </w:rPr>
        <w:t xml:space="preserve">1 </w:t>
      </w:r>
      <w:r>
        <w:rPr>
          <w:rFonts w:cs="Arial"/>
          <w:sz w:val="26"/>
          <w:szCs w:val="26"/>
        </w:rPr>
        <w:t>below:</w:t>
      </w:r>
    </w:p>
    <w:p w:rsidR="00735A48" w:rsidP="00A0266A" w:rsidRDefault="00735A48">
      <w:pPr>
        <w:rPr>
          <w:rFonts w:cs="Arial"/>
          <w:sz w:val="26"/>
          <w:szCs w:val="26"/>
        </w:rPr>
      </w:pPr>
    </w:p>
    <w:p w:rsidRPr="00D85B8B" w:rsidR="00D85B8B" w:rsidP="00A0266A" w:rsidRDefault="00D85B8B">
      <w:pPr>
        <w:rPr>
          <w:rFonts w:cs="Arial"/>
          <w:b/>
          <w:sz w:val="26"/>
          <w:szCs w:val="26"/>
          <w:u w:val="single"/>
        </w:rPr>
      </w:pPr>
      <w:r w:rsidRPr="00D85B8B">
        <w:rPr>
          <w:rFonts w:cs="Arial"/>
          <w:b/>
          <w:sz w:val="26"/>
          <w:szCs w:val="26"/>
          <w:u w:val="single"/>
        </w:rPr>
        <w:t>Table 1 – Summary of former ESG funded services costs</w:t>
      </w:r>
    </w:p>
    <w:p w:rsidRPr="006033F3" w:rsidR="00D85B8B" w:rsidP="00A0266A" w:rsidRDefault="00D85B8B">
      <w:pPr>
        <w:rPr>
          <w:rFonts w:cs="Arial"/>
          <w:sz w:val="26"/>
          <w:szCs w:val="26"/>
        </w:rPr>
      </w:pPr>
    </w:p>
    <w:tbl>
      <w:tblPr>
        <w:tblStyle w:val="TableGrid"/>
        <w:tblW w:w="9913" w:type="dxa"/>
        <w:tblLook w:val="04A0" w:firstRow="1" w:lastRow="0" w:firstColumn="1" w:lastColumn="0" w:noHBand="0" w:noVBand="1"/>
      </w:tblPr>
      <w:tblGrid>
        <w:gridCol w:w="4632"/>
        <w:gridCol w:w="1040"/>
        <w:gridCol w:w="1320"/>
        <w:gridCol w:w="1575"/>
        <w:gridCol w:w="1346"/>
      </w:tblGrid>
      <w:tr w:rsidRPr="006033F3" w:rsidR="00DC68F4" w:rsidTr="00DC68F4">
        <w:tc>
          <w:tcPr>
            <w:tcW w:w="4632" w:type="dxa"/>
          </w:tcPr>
          <w:p w:rsidR="00DC68F4" w:rsidP="00A0266A" w:rsidRDefault="00DC68F4">
            <w:pPr>
              <w:rPr>
                <w:rFonts w:ascii="Arial" w:hAnsi="Arial" w:cs="Arial"/>
                <w:sz w:val="26"/>
                <w:szCs w:val="26"/>
              </w:rPr>
            </w:pPr>
          </w:p>
          <w:p w:rsidRPr="006033F3" w:rsidR="00DC68F4" w:rsidP="00A0266A" w:rsidRDefault="00DC68F4">
            <w:pPr>
              <w:rPr>
                <w:rFonts w:ascii="Arial" w:hAnsi="Arial" w:cs="Arial"/>
                <w:sz w:val="26"/>
                <w:szCs w:val="26"/>
              </w:rPr>
            </w:pPr>
            <w:r w:rsidRPr="006033F3">
              <w:rPr>
                <w:rFonts w:ascii="Arial" w:hAnsi="Arial" w:cs="Arial"/>
                <w:sz w:val="26"/>
                <w:szCs w:val="26"/>
              </w:rPr>
              <w:t>Service</w:t>
            </w:r>
          </w:p>
        </w:tc>
        <w:tc>
          <w:tcPr>
            <w:tcW w:w="1040" w:type="dxa"/>
          </w:tcPr>
          <w:p w:rsidRPr="00DC68F4" w:rsidR="00DC68F4" w:rsidP="0041485E" w:rsidRDefault="00DC68F4">
            <w:pPr>
              <w:jc w:val="right"/>
              <w:rPr>
                <w:rFonts w:ascii="Arial" w:hAnsi="Arial" w:cs="Arial"/>
                <w:sz w:val="26"/>
                <w:szCs w:val="26"/>
              </w:rPr>
            </w:pPr>
            <w:r w:rsidRPr="00DC68F4">
              <w:rPr>
                <w:rFonts w:ascii="Arial" w:hAnsi="Arial" w:cs="Arial"/>
                <w:sz w:val="26"/>
                <w:szCs w:val="26"/>
              </w:rPr>
              <w:t>Cost of service</w:t>
            </w:r>
          </w:p>
        </w:tc>
        <w:tc>
          <w:tcPr>
            <w:tcW w:w="1320" w:type="dxa"/>
          </w:tcPr>
          <w:p w:rsidRPr="00DC68F4" w:rsidR="00DC68F4" w:rsidP="0041485E" w:rsidRDefault="00DC68F4">
            <w:pPr>
              <w:jc w:val="right"/>
              <w:rPr>
                <w:rFonts w:ascii="Arial" w:hAnsi="Arial" w:cs="Arial"/>
                <w:sz w:val="26"/>
                <w:szCs w:val="26"/>
              </w:rPr>
            </w:pPr>
            <w:r w:rsidRPr="00DC68F4">
              <w:rPr>
                <w:rFonts w:ascii="Arial" w:hAnsi="Arial" w:cs="Arial"/>
                <w:sz w:val="26"/>
                <w:szCs w:val="26"/>
              </w:rPr>
              <w:t>Notional HNB/EY adj*</w:t>
            </w:r>
          </w:p>
        </w:tc>
        <w:tc>
          <w:tcPr>
            <w:tcW w:w="1575" w:type="dxa"/>
          </w:tcPr>
          <w:p w:rsidRPr="00DC68F4" w:rsidR="00DC68F4" w:rsidP="0041485E" w:rsidRDefault="00DC68F4">
            <w:pPr>
              <w:jc w:val="right"/>
              <w:rPr>
                <w:rFonts w:ascii="Arial" w:hAnsi="Arial" w:cs="Arial"/>
                <w:sz w:val="26"/>
                <w:szCs w:val="26"/>
              </w:rPr>
            </w:pPr>
            <w:r>
              <w:rPr>
                <w:rFonts w:ascii="Arial" w:hAnsi="Arial" w:cs="Arial"/>
                <w:sz w:val="26"/>
                <w:szCs w:val="26"/>
              </w:rPr>
              <w:t>Mainstream cost of service</w:t>
            </w:r>
          </w:p>
        </w:tc>
        <w:tc>
          <w:tcPr>
            <w:tcW w:w="1346" w:type="dxa"/>
          </w:tcPr>
          <w:p w:rsidRPr="00DC68F4" w:rsidR="00DC68F4" w:rsidP="0041485E" w:rsidRDefault="00DC68F4">
            <w:pPr>
              <w:jc w:val="right"/>
              <w:rPr>
                <w:rFonts w:ascii="Arial" w:hAnsi="Arial" w:cs="Arial"/>
                <w:sz w:val="26"/>
                <w:szCs w:val="26"/>
              </w:rPr>
            </w:pPr>
            <w:r>
              <w:rPr>
                <w:rFonts w:ascii="Arial" w:hAnsi="Arial" w:cs="Arial"/>
                <w:sz w:val="26"/>
                <w:szCs w:val="26"/>
              </w:rPr>
              <w:t xml:space="preserve">M/stream </w:t>
            </w:r>
            <w:r w:rsidRPr="00DC68F4">
              <w:rPr>
                <w:rFonts w:ascii="Arial" w:hAnsi="Arial" w:cs="Arial"/>
                <w:sz w:val="26"/>
                <w:szCs w:val="26"/>
              </w:rPr>
              <w:t>Cost per pupil</w:t>
            </w:r>
          </w:p>
        </w:tc>
      </w:tr>
      <w:tr w:rsidRPr="006033F3" w:rsidR="00DC68F4" w:rsidTr="00DC68F4">
        <w:tc>
          <w:tcPr>
            <w:tcW w:w="4632" w:type="dxa"/>
          </w:tcPr>
          <w:p w:rsidRPr="006033F3" w:rsidR="00DC68F4" w:rsidP="00A0266A" w:rsidRDefault="00DC68F4">
            <w:pPr>
              <w:rPr>
                <w:rFonts w:ascii="Arial" w:hAnsi="Arial" w:cs="Arial"/>
                <w:sz w:val="26"/>
                <w:szCs w:val="26"/>
              </w:rPr>
            </w:pPr>
          </w:p>
        </w:tc>
        <w:tc>
          <w:tcPr>
            <w:tcW w:w="1040" w:type="dxa"/>
          </w:tcPr>
          <w:p w:rsidRPr="00DC68F4" w:rsidR="00DC68F4" w:rsidP="0041485E" w:rsidRDefault="00DC68F4">
            <w:pPr>
              <w:jc w:val="right"/>
              <w:rPr>
                <w:rFonts w:ascii="Arial" w:hAnsi="Arial" w:cs="Arial"/>
                <w:sz w:val="26"/>
                <w:szCs w:val="26"/>
              </w:rPr>
            </w:pPr>
            <w:r w:rsidRPr="00DC68F4">
              <w:rPr>
                <w:rFonts w:ascii="Arial" w:hAnsi="Arial" w:cs="Arial"/>
                <w:sz w:val="26"/>
                <w:szCs w:val="26"/>
              </w:rPr>
              <w:t>£k</w:t>
            </w:r>
          </w:p>
        </w:tc>
        <w:tc>
          <w:tcPr>
            <w:tcW w:w="1320" w:type="dxa"/>
          </w:tcPr>
          <w:p w:rsidRPr="00DC68F4" w:rsidR="00DC68F4" w:rsidP="0041485E" w:rsidRDefault="00DC68F4">
            <w:pPr>
              <w:jc w:val="right"/>
              <w:rPr>
                <w:rFonts w:ascii="Arial" w:hAnsi="Arial" w:cs="Arial"/>
                <w:sz w:val="26"/>
                <w:szCs w:val="26"/>
              </w:rPr>
            </w:pPr>
            <w:r>
              <w:rPr>
                <w:rFonts w:ascii="Arial" w:hAnsi="Arial" w:cs="Arial"/>
                <w:sz w:val="26"/>
                <w:szCs w:val="26"/>
              </w:rPr>
              <w:t>£k</w:t>
            </w:r>
          </w:p>
        </w:tc>
        <w:tc>
          <w:tcPr>
            <w:tcW w:w="1575" w:type="dxa"/>
          </w:tcPr>
          <w:p w:rsidRPr="00DC68F4" w:rsidR="00DC68F4" w:rsidP="0041485E" w:rsidRDefault="00DC68F4">
            <w:pPr>
              <w:jc w:val="right"/>
              <w:rPr>
                <w:rFonts w:ascii="Arial" w:hAnsi="Arial" w:cs="Arial"/>
                <w:sz w:val="26"/>
                <w:szCs w:val="26"/>
              </w:rPr>
            </w:pPr>
            <w:r>
              <w:rPr>
                <w:rFonts w:ascii="Arial" w:hAnsi="Arial" w:cs="Arial"/>
                <w:sz w:val="26"/>
                <w:szCs w:val="26"/>
              </w:rPr>
              <w:t>£k</w:t>
            </w:r>
          </w:p>
        </w:tc>
        <w:tc>
          <w:tcPr>
            <w:tcW w:w="1346" w:type="dxa"/>
          </w:tcPr>
          <w:p w:rsidRPr="00DC68F4" w:rsidR="00DC68F4" w:rsidP="0041485E" w:rsidRDefault="00DC68F4">
            <w:pPr>
              <w:jc w:val="right"/>
              <w:rPr>
                <w:rFonts w:ascii="Arial" w:hAnsi="Arial" w:cs="Arial"/>
                <w:sz w:val="26"/>
                <w:szCs w:val="26"/>
              </w:rPr>
            </w:pPr>
            <w:r w:rsidRPr="00DC68F4">
              <w:rPr>
                <w:rFonts w:ascii="Arial" w:hAnsi="Arial" w:cs="Arial"/>
                <w:sz w:val="26"/>
                <w:szCs w:val="26"/>
              </w:rPr>
              <w:t>£</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CS Finance – budget/Scheme</w:t>
            </w:r>
          </w:p>
        </w:tc>
        <w:tc>
          <w:tcPr>
            <w:tcW w:w="1040" w:type="dxa"/>
          </w:tcPr>
          <w:p w:rsidRPr="00DC68F4" w:rsidR="00DC68F4" w:rsidP="00DC68F4" w:rsidRDefault="00DC68F4">
            <w:pPr>
              <w:jc w:val="right"/>
              <w:rPr>
                <w:rFonts w:ascii="Arial" w:hAnsi="Arial" w:cs="Arial"/>
                <w:sz w:val="26"/>
                <w:szCs w:val="26"/>
              </w:rPr>
            </w:pPr>
            <w:r w:rsidRPr="00DC68F4">
              <w:rPr>
                <w:rFonts w:ascii="Arial" w:hAnsi="Arial" w:cs="Arial"/>
                <w:sz w:val="26"/>
                <w:szCs w:val="26"/>
              </w:rPr>
              <w:t>15</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0.75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14.25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0.21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Corp Finance - Internal Audit</w:t>
            </w:r>
          </w:p>
        </w:tc>
        <w:tc>
          <w:tcPr>
            <w:tcW w:w="1040" w:type="dxa"/>
          </w:tcPr>
          <w:p w:rsidRPr="00DC68F4" w:rsidR="00DC68F4" w:rsidP="00DC68F4" w:rsidRDefault="00DC68F4">
            <w:pPr>
              <w:jc w:val="right"/>
              <w:rPr>
                <w:rFonts w:ascii="Arial" w:hAnsi="Arial" w:cs="Arial"/>
                <w:sz w:val="26"/>
                <w:szCs w:val="26"/>
              </w:rPr>
            </w:pPr>
            <w:r w:rsidRPr="00DC68F4">
              <w:rPr>
                <w:rFonts w:ascii="Arial" w:hAnsi="Arial" w:cs="Arial"/>
                <w:sz w:val="26"/>
                <w:szCs w:val="26"/>
              </w:rPr>
              <w:t>140</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7.00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133.00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1.96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CS Finance – CFR returns</w:t>
            </w:r>
          </w:p>
        </w:tc>
        <w:tc>
          <w:tcPr>
            <w:tcW w:w="1040" w:type="dxa"/>
          </w:tcPr>
          <w:p w:rsidRPr="00DC68F4" w:rsidR="00DC68F4" w:rsidP="00DC68F4" w:rsidRDefault="00DC68F4">
            <w:pPr>
              <w:jc w:val="right"/>
              <w:rPr>
                <w:rFonts w:ascii="Arial" w:hAnsi="Arial" w:cs="Arial"/>
                <w:sz w:val="26"/>
                <w:szCs w:val="26"/>
              </w:rPr>
            </w:pPr>
            <w:r w:rsidRPr="00DC68F4">
              <w:rPr>
                <w:rFonts w:ascii="Arial" w:hAnsi="Arial" w:cs="Arial"/>
                <w:sz w:val="26"/>
                <w:szCs w:val="26"/>
              </w:rPr>
              <w:t>2</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0.10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1.90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0.03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CS HR – Investigations</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10</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0.50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9.50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0.14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Corp Finance – Pensions</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30</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1.50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28.50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0.42 </w:t>
            </w:r>
          </w:p>
        </w:tc>
      </w:tr>
      <w:tr w:rsidRPr="006033F3" w:rsidR="00DC68F4" w:rsidTr="006923C6">
        <w:tc>
          <w:tcPr>
            <w:tcW w:w="4632" w:type="dxa"/>
          </w:tcPr>
          <w:p w:rsidRPr="0026384C" w:rsidR="00DC68F4" w:rsidP="00605A4D" w:rsidRDefault="00DC68F4">
            <w:pPr>
              <w:rPr>
                <w:rFonts w:ascii="Arial" w:hAnsi="Arial" w:cs="Arial"/>
                <w:sz w:val="26"/>
                <w:szCs w:val="26"/>
              </w:rPr>
            </w:pPr>
            <w:r w:rsidRPr="0026384C">
              <w:rPr>
                <w:rFonts w:ascii="Arial" w:hAnsi="Arial" w:cs="Arial"/>
                <w:sz w:val="26"/>
                <w:szCs w:val="26"/>
              </w:rPr>
              <w:t>CS HR –</w:t>
            </w:r>
            <w:r>
              <w:rPr>
                <w:rFonts w:ascii="Arial" w:hAnsi="Arial" w:cs="Arial"/>
                <w:sz w:val="26"/>
                <w:szCs w:val="26"/>
              </w:rPr>
              <w:t xml:space="preserve"> A</w:t>
            </w:r>
            <w:r w:rsidRPr="0026384C">
              <w:rPr>
                <w:rFonts w:ascii="Arial" w:hAnsi="Arial" w:cs="Arial"/>
                <w:sz w:val="26"/>
                <w:szCs w:val="26"/>
              </w:rPr>
              <w:t>dvice and guidance</w:t>
            </w:r>
            <w:r>
              <w:rPr>
                <w:rFonts w:ascii="Arial" w:hAnsi="Arial" w:cs="Arial"/>
                <w:sz w:val="26"/>
                <w:szCs w:val="26"/>
              </w:rPr>
              <w:t xml:space="preserve"> </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46</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2.30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43.70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0.64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CS HR – Consultations</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20</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1.00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19.00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0.28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 xml:space="preserve">CS HR – TUPE related </w:t>
            </w:r>
            <w:r>
              <w:rPr>
                <w:rFonts w:ascii="Arial" w:hAnsi="Arial" w:cs="Arial"/>
                <w:sz w:val="26"/>
                <w:szCs w:val="26"/>
              </w:rPr>
              <w:t>work</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5</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0.25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4.75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0.07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CS HR – Compliance with H&amp;S</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224</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11.20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212.80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3.13 </w:t>
            </w:r>
          </w:p>
        </w:tc>
      </w:tr>
      <w:tr w:rsidRPr="006033F3" w:rsidR="00DC68F4" w:rsidTr="006923C6">
        <w:tc>
          <w:tcPr>
            <w:tcW w:w="4632" w:type="dxa"/>
          </w:tcPr>
          <w:p w:rsidRPr="0026384C" w:rsidR="00DC68F4" w:rsidP="00DC68F4" w:rsidRDefault="00DC68F4">
            <w:pPr>
              <w:rPr>
                <w:rFonts w:ascii="Arial" w:hAnsi="Arial" w:cs="Arial"/>
                <w:sz w:val="26"/>
                <w:szCs w:val="26"/>
              </w:rPr>
            </w:pPr>
            <w:r w:rsidRPr="0026384C">
              <w:rPr>
                <w:rFonts w:ascii="Arial" w:hAnsi="Arial" w:cs="Arial"/>
                <w:sz w:val="26"/>
                <w:szCs w:val="26"/>
              </w:rPr>
              <w:t>CS HR – Equalities Act</w:t>
            </w:r>
          </w:p>
        </w:tc>
        <w:tc>
          <w:tcPr>
            <w:tcW w:w="1040" w:type="dxa"/>
          </w:tcPr>
          <w:p w:rsidRPr="0026384C" w:rsidR="00DC68F4" w:rsidP="00DC68F4" w:rsidRDefault="00DC68F4">
            <w:pPr>
              <w:jc w:val="right"/>
              <w:rPr>
                <w:rFonts w:ascii="Arial" w:hAnsi="Arial" w:cs="Arial"/>
                <w:sz w:val="26"/>
                <w:szCs w:val="26"/>
              </w:rPr>
            </w:pPr>
            <w:r w:rsidRPr="0026384C">
              <w:rPr>
                <w:rFonts w:ascii="Arial" w:hAnsi="Arial" w:cs="Arial"/>
                <w:sz w:val="26"/>
                <w:szCs w:val="26"/>
              </w:rPr>
              <w:t>8</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0.40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7.60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0.11 </w:t>
            </w:r>
          </w:p>
        </w:tc>
      </w:tr>
      <w:tr w:rsidRPr="006033F3" w:rsidR="00DC68F4" w:rsidTr="006923C6">
        <w:tc>
          <w:tcPr>
            <w:tcW w:w="4632" w:type="dxa"/>
          </w:tcPr>
          <w:p w:rsidRPr="0026384C" w:rsidR="00DC68F4" w:rsidP="00DC68F4" w:rsidRDefault="00DC68F4">
            <w:pPr>
              <w:rPr>
                <w:rFonts w:ascii="Arial" w:hAnsi="Arial" w:cs="Arial"/>
                <w:sz w:val="26"/>
                <w:szCs w:val="26"/>
              </w:rPr>
            </w:pPr>
            <w:r>
              <w:rPr>
                <w:rFonts w:ascii="Arial" w:hAnsi="Arial" w:cs="Arial"/>
                <w:sz w:val="26"/>
                <w:szCs w:val="26"/>
              </w:rPr>
              <w:t>CS ICT – Data transfer</w:t>
            </w:r>
          </w:p>
        </w:tc>
        <w:tc>
          <w:tcPr>
            <w:tcW w:w="1040" w:type="dxa"/>
          </w:tcPr>
          <w:p w:rsidRPr="0026384C" w:rsidR="00DC68F4" w:rsidP="00DC68F4" w:rsidRDefault="00DC68F4">
            <w:pPr>
              <w:jc w:val="right"/>
              <w:rPr>
                <w:rFonts w:ascii="Arial" w:hAnsi="Arial" w:cs="Arial"/>
                <w:sz w:val="26"/>
                <w:szCs w:val="26"/>
              </w:rPr>
            </w:pPr>
            <w:r>
              <w:rPr>
                <w:rFonts w:ascii="Arial" w:hAnsi="Arial" w:cs="Arial"/>
                <w:sz w:val="26"/>
                <w:szCs w:val="26"/>
              </w:rPr>
              <w:t>10</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0.50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9.50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0.14 </w:t>
            </w:r>
          </w:p>
        </w:tc>
      </w:tr>
      <w:tr w:rsidRPr="006033F3" w:rsidR="00DC68F4" w:rsidTr="006923C6">
        <w:tc>
          <w:tcPr>
            <w:tcW w:w="4632" w:type="dxa"/>
          </w:tcPr>
          <w:p w:rsidRPr="0026384C" w:rsidR="00DC68F4" w:rsidP="00DC68F4" w:rsidRDefault="00DC68F4">
            <w:pPr>
              <w:rPr>
                <w:rFonts w:ascii="Arial" w:hAnsi="Arial" w:cs="Arial"/>
                <w:sz w:val="26"/>
                <w:szCs w:val="26"/>
              </w:rPr>
            </w:pPr>
            <w:r>
              <w:rPr>
                <w:rFonts w:ascii="Arial" w:hAnsi="Arial" w:cs="Arial"/>
                <w:sz w:val="26"/>
                <w:szCs w:val="26"/>
              </w:rPr>
              <w:t>CS ICT – Information to the Crown</w:t>
            </w:r>
          </w:p>
        </w:tc>
        <w:tc>
          <w:tcPr>
            <w:tcW w:w="1040" w:type="dxa"/>
          </w:tcPr>
          <w:p w:rsidRPr="0026384C" w:rsidR="00DC68F4" w:rsidP="00DC68F4" w:rsidRDefault="00705BA4">
            <w:pPr>
              <w:jc w:val="right"/>
              <w:rPr>
                <w:rFonts w:ascii="Arial" w:hAnsi="Arial" w:cs="Arial"/>
                <w:sz w:val="26"/>
                <w:szCs w:val="26"/>
              </w:rPr>
            </w:pPr>
            <w:r>
              <w:rPr>
                <w:rFonts w:ascii="Arial" w:hAnsi="Arial" w:cs="Arial"/>
                <w:sz w:val="26"/>
                <w:szCs w:val="26"/>
              </w:rPr>
              <w:t>5</w:t>
            </w:r>
            <w:r w:rsidR="00DC68F4">
              <w:rPr>
                <w:rFonts w:ascii="Arial" w:hAnsi="Arial" w:cs="Arial"/>
                <w:sz w:val="26"/>
                <w:szCs w:val="26"/>
              </w:rPr>
              <w:t>4</w:t>
            </w:r>
          </w:p>
        </w:tc>
        <w:tc>
          <w:tcPr>
            <w:tcW w:w="1320" w:type="dxa"/>
            <w:vAlign w:val="bottom"/>
          </w:tcPr>
          <w:p w:rsidRPr="00DC68F4" w:rsidR="00DC68F4" w:rsidP="00705BA4" w:rsidRDefault="00705BA4">
            <w:pPr>
              <w:jc w:val="right"/>
              <w:rPr>
                <w:rFonts w:ascii="Arial" w:hAnsi="Arial" w:cs="Arial"/>
                <w:sz w:val="26"/>
                <w:szCs w:val="26"/>
              </w:rPr>
            </w:pPr>
            <w:r>
              <w:rPr>
                <w:rFonts w:ascii="Arial" w:hAnsi="Arial" w:cs="Arial"/>
                <w:sz w:val="26"/>
                <w:szCs w:val="26"/>
              </w:rPr>
              <w:t>2</w:t>
            </w:r>
            <w:r w:rsidRPr="00DC68F4" w:rsidR="00DC68F4">
              <w:rPr>
                <w:rFonts w:ascii="Arial" w:hAnsi="Arial" w:cs="Arial"/>
                <w:sz w:val="26"/>
                <w:szCs w:val="26"/>
              </w:rPr>
              <w:t>.</w:t>
            </w:r>
            <w:r>
              <w:rPr>
                <w:rFonts w:ascii="Arial" w:hAnsi="Arial" w:cs="Arial"/>
                <w:sz w:val="26"/>
                <w:szCs w:val="26"/>
              </w:rPr>
              <w:t>7</w:t>
            </w:r>
            <w:r w:rsidRPr="00DC68F4" w:rsidR="00DC68F4">
              <w:rPr>
                <w:rFonts w:ascii="Arial" w:hAnsi="Arial" w:cs="Arial"/>
                <w:sz w:val="26"/>
                <w:szCs w:val="26"/>
              </w:rPr>
              <w:t xml:space="preserve">0 </w:t>
            </w:r>
          </w:p>
        </w:tc>
        <w:tc>
          <w:tcPr>
            <w:tcW w:w="1575" w:type="dxa"/>
            <w:vAlign w:val="bottom"/>
          </w:tcPr>
          <w:p w:rsidRPr="00DC68F4" w:rsidR="00DC68F4" w:rsidP="00705BA4" w:rsidRDefault="00705BA4">
            <w:pPr>
              <w:jc w:val="right"/>
              <w:rPr>
                <w:rFonts w:ascii="Arial" w:hAnsi="Arial" w:cs="Arial"/>
                <w:sz w:val="26"/>
                <w:szCs w:val="26"/>
              </w:rPr>
            </w:pPr>
            <w:r>
              <w:rPr>
                <w:rFonts w:ascii="Arial" w:hAnsi="Arial" w:cs="Arial"/>
                <w:sz w:val="26"/>
                <w:szCs w:val="26"/>
              </w:rPr>
              <w:t>51.3</w:t>
            </w:r>
            <w:r w:rsidRPr="00DC68F4" w:rsidR="00DC68F4">
              <w:rPr>
                <w:rFonts w:ascii="Arial" w:hAnsi="Arial" w:cs="Arial"/>
                <w:sz w:val="26"/>
                <w:szCs w:val="26"/>
              </w:rPr>
              <w:t xml:space="preserve">0 </w:t>
            </w:r>
          </w:p>
        </w:tc>
        <w:tc>
          <w:tcPr>
            <w:tcW w:w="1346" w:type="dxa"/>
            <w:vAlign w:val="bottom"/>
          </w:tcPr>
          <w:p w:rsidRPr="00DC68F4" w:rsidR="00DC68F4" w:rsidP="00705BA4" w:rsidRDefault="00DC68F4">
            <w:pPr>
              <w:jc w:val="right"/>
              <w:rPr>
                <w:rFonts w:ascii="Arial" w:hAnsi="Arial" w:cs="Arial"/>
                <w:sz w:val="26"/>
                <w:szCs w:val="26"/>
              </w:rPr>
            </w:pPr>
            <w:r w:rsidRPr="00DC68F4">
              <w:rPr>
                <w:rFonts w:ascii="Arial" w:hAnsi="Arial" w:cs="Arial"/>
                <w:sz w:val="26"/>
                <w:szCs w:val="26"/>
              </w:rPr>
              <w:t>0.</w:t>
            </w:r>
            <w:r w:rsidR="00705BA4">
              <w:rPr>
                <w:rFonts w:ascii="Arial" w:hAnsi="Arial" w:cs="Arial"/>
                <w:sz w:val="26"/>
                <w:szCs w:val="26"/>
              </w:rPr>
              <w:t>75</w:t>
            </w:r>
            <w:r w:rsidRPr="00DC68F4">
              <w:rPr>
                <w:rFonts w:ascii="Arial" w:hAnsi="Arial" w:cs="Arial"/>
                <w:sz w:val="26"/>
                <w:szCs w:val="26"/>
              </w:rPr>
              <w:t xml:space="preserve"> </w:t>
            </w:r>
          </w:p>
        </w:tc>
      </w:tr>
      <w:tr w:rsidRPr="006033F3" w:rsidR="00DC68F4" w:rsidTr="006923C6">
        <w:tc>
          <w:tcPr>
            <w:tcW w:w="4632" w:type="dxa"/>
          </w:tcPr>
          <w:p w:rsidRPr="0026384C" w:rsidR="00DC68F4" w:rsidP="00DC68F4" w:rsidRDefault="00DC68F4">
            <w:pPr>
              <w:rPr>
                <w:rFonts w:ascii="Arial" w:hAnsi="Arial" w:cs="Arial"/>
                <w:sz w:val="26"/>
                <w:szCs w:val="26"/>
              </w:rPr>
            </w:pPr>
            <w:r>
              <w:rPr>
                <w:rFonts w:ascii="Arial" w:hAnsi="Arial" w:cs="Arial"/>
                <w:sz w:val="26"/>
                <w:szCs w:val="26"/>
              </w:rPr>
              <w:t>CS - Development</w:t>
            </w:r>
          </w:p>
        </w:tc>
        <w:tc>
          <w:tcPr>
            <w:tcW w:w="1040" w:type="dxa"/>
          </w:tcPr>
          <w:p w:rsidRPr="0026384C" w:rsidR="00DC68F4" w:rsidP="00DC68F4" w:rsidRDefault="00DC68F4">
            <w:pPr>
              <w:jc w:val="right"/>
              <w:rPr>
                <w:rFonts w:ascii="Arial" w:hAnsi="Arial" w:cs="Arial"/>
                <w:sz w:val="26"/>
                <w:szCs w:val="26"/>
              </w:rPr>
            </w:pPr>
            <w:r>
              <w:rPr>
                <w:rFonts w:ascii="Arial" w:hAnsi="Arial" w:cs="Arial"/>
                <w:sz w:val="26"/>
                <w:szCs w:val="26"/>
              </w:rPr>
              <w:t>70</w:t>
            </w:r>
          </w:p>
        </w:tc>
        <w:tc>
          <w:tcPr>
            <w:tcW w:w="1320"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3.50 </w:t>
            </w:r>
          </w:p>
        </w:tc>
        <w:tc>
          <w:tcPr>
            <w:tcW w:w="1575"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66.50 </w:t>
            </w:r>
          </w:p>
        </w:tc>
        <w:tc>
          <w:tcPr>
            <w:tcW w:w="1346" w:type="dxa"/>
            <w:vAlign w:val="bottom"/>
          </w:tcPr>
          <w:p w:rsidRPr="00DC68F4" w:rsidR="00DC68F4" w:rsidP="00DC68F4" w:rsidRDefault="00DC68F4">
            <w:pPr>
              <w:jc w:val="right"/>
              <w:rPr>
                <w:rFonts w:ascii="Arial" w:hAnsi="Arial" w:cs="Arial"/>
                <w:sz w:val="26"/>
                <w:szCs w:val="26"/>
              </w:rPr>
            </w:pPr>
            <w:r w:rsidRPr="00DC68F4">
              <w:rPr>
                <w:rFonts w:ascii="Arial" w:hAnsi="Arial" w:cs="Arial"/>
                <w:sz w:val="26"/>
                <w:szCs w:val="26"/>
              </w:rPr>
              <w:t xml:space="preserve">0.98 </w:t>
            </w:r>
          </w:p>
        </w:tc>
      </w:tr>
      <w:tr w:rsidRPr="006033F3" w:rsidR="00DC68F4" w:rsidTr="006923C6">
        <w:tc>
          <w:tcPr>
            <w:tcW w:w="4632" w:type="dxa"/>
          </w:tcPr>
          <w:p w:rsidRPr="0026384C" w:rsidR="00DC68F4" w:rsidP="00DC68F4" w:rsidRDefault="00DC68F4">
            <w:pPr>
              <w:rPr>
                <w:rFonts w:ascii="Arial" w:hAnsi="Arial" w:cs="Arial"/>
                <w:sz w:val="26"/>
                <w:szCs w:val="26"/>
              </w:rPr>
            </w:pPr>
            <w:r>
              <w:rPr>
                <w:rFonts w:ascii="Arial" w:hAnsi="Arial" w:cs="Arial"/>
                <w:sz w:val="26"/>
                <w:szCs w:val="26"/>
              </w:rPr>
              <w:t>Total – excluding Corporate Property</w:t>
            </w:r>
          </w:p>
        </w:tc>
        <w:tc>
          <w:tcPr>
            <w:tcW w:w="1040" w:type="dxa"/>
          </w:tcPr>
          <w:p w:rsidRPr="0026384C" w:rsidR="00DC68F4" w:rsidP="00705BA4" w:rsidRDefault="00DC68F4">
            <w:pPr>
              <w:jc w:val="right"/>
              <w:rPr>
                <w:rFonts w:ascii="Arial" w:hAnsi="Arial" w:cs="Arial"/>
                <w:sz w:val="26"/>
                <w:szCs w:val="26"/>
              </w:rPr>
            </w:pPr>
            <w:r>
              <w:rPr>
                <w:rFonts w:ascii="Arial" w:hAnsi="Arial" w:cs="Arial"/>
                <w:sz w:val="26"/>
                <w:szCs w:val="26"/>
              </w:rPr>
              <w:t>6</w:t>
            </w:r>
            <w:r w:rsidR="00705BA4">
              <w:rPr>
                <w:rFonts w:ascii="Arial" w:hAnsi="Arial" w:cs="Arial"/>
                <w:sz w:val="26"/>
                <w:szCs w:val="26"/>
              </w:rPr>
              <w:t>3</w:t>
            </w:r>
            <w:r>
              <w:rPr>
                <w:rFonts w:ascii="Arial" w:hAnsi="Arial" w:cs="Arial"/>
                <w:sz w:val="26"/>
                <w:szCs w:val="26"/>
              </w:rPr>
              <w:t>4</w:t>
            </w:r>
          </w:p>
        </w:tc>
        <w:tc>
          <w:tcPr>
            <w:tcW w:w="1320" w:type="dxa"/>
            <w:vAlign w:val="bottom"/>
          </w:tcPr>
          <w:p w:rsidRPr="00DC68F4" w:rsidR="00DC68F4" w:rsidP="00705BA4" w:rsidRDefault="00DC68F4">
            <w:pPr>
              <w:jc w:val="right"/>
              <w:rPr>
                <w:rFonts w:ascii="Arial" w:hAnsi="Arial" w:cs="Arial"/>
                <w:sz w:val="26"/>
                <w:szCs w:val="26"/>
              </w:rPr>
            </w:pPr>
            <w:r w:rsidRPr="00DC68F4">
              <w:rPr>
                <w:rFonts w:ascii="Arial" w:hAnsi="Arial" w:cs="Arial"/>
                <w:sz w:val="26"/>
                <w:szCs w:val="26"/>
              </w:rPr>
              <w:t>3</w:t>
            </w:r>
            <w:r w:rsidR="00705BA4">
              <w:rPr>
                <w:rFonts w:ascii="Arial" w:hAnsi="Arial" w:cs="Arial"/>
                <w:sz w:val="26"/>
                <w:szCs w:val="26"/>
              </w:rPr>
              <w:t>1</w:t>
            </w:r>
            <w:r w:rsidRPr="00DC68F4">
              <w:rPr>
                <w:rFonts w:ascii="Arial" w:hAnsi="Arial" w:cs="Arial"/>
                <w:sz w:val="26"/>
                <w:szCs w:val="26"/>
              </w:rPr>
              <w:t>.</w:t>
            </w:r>
            <w:r w:rsidR="00705BA4">
              <w:rPr>
                <w:rFonts w:ascii="Arial" w:hAnsi="Arial" w:cs="Arial"/>
                <w:sz w:val="26"/>
                <w:szCs w:val="26"/>
              </w:rPr>
              <w:t>7</w:t>
            </w:r>
            <w:r w:rsidRPr="00DC68F4">
              <w:rPr>
                <w:rFonts w:ascii="Arial" w:hAnsi="Arial" w:cs="Arial"/>
                <w:sz w:val="26"/>
                <w:szCs w:val="26"/>
              </w:rPr>
              <w:t xml:space="preserve">0 </w:t>
            </w:r>
          </w:p>
        </w:tc>
        <w:tc>
          <w:tcPr>
            <w:tcW w:w="1575" w:type="dxa"/>
            <w:vAlign w:val="bottom"/>
          </w:tcPr>
          <w:p w:rsidRPr="00DC68F4" w:rsidR="00DC68F4" w:rsidP="00705BA4" w:rsidRDefault="00DC68F4">
            <w:pPr>
              <w:jc w:val="right"/>
              <w:rPr>
                <w:rFonts w:ascii="Arial" w:hAnsi="Arial" w:cs="Arial"/>
                <w:sz w:val="26"/>
                <w:szCs w:val="26"/>
              </w:rPr>
            </w:pPr>
            <w:r w:rsidRPr="00DC68F4">
              <w:rPr>
                <w:rFonts w:ascii="Arial" w:hAnsi="Arial" w:cs="Arial"/>
                <w:sz w:val="26"/>
                <w:szCs w:val="26"/>
              </w:rPr>
              <w:t>6</w:t>
            </w:r>
            <w:r w:rsidR="00705BA4">
              <w:rPr>
                <w:rFonts w:ascii="Arial" w:hAnsi="Arial" w:cs="Arial"/>
                <w:sz w:val="26"/>
                <w:szCs w:val="26"/>
              </w:rPr>
              <w:t>02.30</w:t>
            </w:r>
            <w:r w:rsidRPr="00DC68F4">
              <w:rPr>
                <w:rFonts w:ascii="Arial" w:hAnsi="Arial" w:cs="Arial"/>
                <w:sz w:val="26"/>
                <w:szCs w:val="26"/>
              </w:rPr>
              <w:t xml:space="preserve"> </w:t>
            </w:r>
          </w:p>
        </w:tc>
        <w:tc>
          <w:tcPr>
            <w:tcW w:w="1346" w:type="dxa"/>
            <w:vAlign w:val="bottom"/>
          </w:tcPr>
          <w:p w:rsidRPr="00DC68F4" w:rsidR="00DC68F4" w:rsidP="00705BA4" w:rsidRDefault="00705BA4">
            <w:pPr>
              <w:jc w:val="right"/>
              <w:rPr>
                <w:rFonts w:ascii="Arial" w:hAnsi="Arial" w:cs="Arial"/>
                <w:sz w:val="26"/>
                <w:szCs w:val="26"/>
              </w:rPr>
            </w:pPr>
            <w:r>
              <w:rPr>
                <w:rFonts w:ascii="Arial" w:hAnsi="Arial" w:cs="Arial"/>
                <w:sz w:val="26"/>
                <w:szCs w:val="26"/>
              </w:rPr>
              <w:t>8</w:t>
            </w:r>
            <w:r w:rsidRPr="00DC68F4" w:rsidR="00DC68F4">
              <w:rPr>
                <w:rFonts w:ascii="Arial" w:hAnsi="Arial" w:cs="Arial"/>
                <w:sz w:val="26"/>
                <w:szCs w:val="26"/>
              </w:rPr>
              <w:t>.</w:t>
            </w:r>
            <w:r>
              <w:rPr>
                <w:rFonts w:ascii="Arial" w:hAnsi="Arial" w:cs="Arial"/>
                <w:sz w:val="26"/>
                <w:szCs w:val="26"/>
              </w:rPr>
              <w:t>86</w:t>
            </w:r>
          </w:p>
        </w:tc>
      </w:tr>
    </w:tbl>
    <w:p w:rsidR="00F608BD" w:rsidP="00A0266A" w:rsidRDefault="00F608BD">
      <w:pPr>
        <w:rPr>
          <w:rFonts w:cs="Arial"/>
          <w:sz w:val="26"/>
          <w:szCs w:val="26"/>
        </w:rPr>
      </w:pPr>
    </w:p>
    <w:p w:rsidRPr="00D85B8B" w:rsidR="00D85B8B" w:rsidP="00A0266A" w:rsidRDefault="00D85B8B">
      <w:pPr>
        <w:rPr>
          <w:rFonts w:cs="Arial"/>
          <w:sz w:val="20"/>
          <w:szCs w:val="20"/>
        </w:rPr>
      </w:pPr>
      <w:r w:rsidRPr="00D85B8B">
        <w:rPr>
          <w:rFonts w:cs="Arial"/>
          <w:sz w:val="20"/>
          <w:szCs w:val="20"/>
        </w:rPr>
        <w:t>*notional 5% deduction as the gross costs in Appendix 1 relate to all schools</w:t>
      </w:r>
    </w:p>
    <w:p w:rsidRPr="006033F3" w:rsidR="00D85B8B" w:rsidP="00A0266A" w:rsidRDefault="00D85B8B">
      <w:pPr>
        <w:rPr>
          <w:rFonts w:cs="Arial"/>
          <w:sz w:val="26"/>
          <w:szCs w:val="26"/>
        </w:rPr>
      </w:pPr>
    </w:p>
    <w:p w:rsidR="00DC68F4" w:rsidP="00A0266A" w:rsidRDefault="00AB1A03">
      <w:pPr>
        <w:rPr>
          <w:rFonts w:cs="Arial"/>
          <w:sz w:val="26"/>
          <w:szCs w:val="26"/>
        </w:rPr>
      </w:pPr>
      <w:r>
        <w:rPr>
          <w:rFonts w:cs="Arial"/>
          <w:sz w:val="26"/>
          <w:szCs w:val="26"/>
        </w:rPr>
        <w:t>In addition to the items in the above table</w:t>
      </w:r>
      <w:r w:rsidR="00DC68F4">
        <w:rPr>
          <w:rFonts w:cs="Arial"/>
          <w:sz w:val="26"/>
          <w:szCs w:val="26"/>
        </w:rPr>
        <w:t>,</w:t>
      </w:r>
      <w:r>
        <w:rPr>
          <w:rFonts w:cs="Arial"/>
          <w:sz w:val="26"/>
          <w:szCs w:val="26"/>
        </w:rPr>
        <w:t xml:space="preserve"> the Authority spends around £0.</w:t>
      </w:r>
      <w:r w:rsidR="00DC68F4">
        <w:rPr>
          <w:rFonts w:cs="Arial"/>
          <w:sz w:val="26"/>
          <w:szCs w:val="26"/>
        </w:rPr>
        <w:t>855</w:t>
      </w:r>
      <w:r>
        <w:rPr>
          <w:rFonts w:cs="Arial"/>
          <w:sz w:val="26"/>
          <w:szCs w:val="26"/>
        </w:rPr>
        <w:t xml:space="preserve">m </w:t>
      </w:r>
      <w:r w:rsidR="00DC68F4">
        <w:rPr>
          <w:rFonts w:cs="Arial"/>
          <w:sz w:val="26"/>
          <w:szCs w:val="26"/>
        </w:rPr>
        <w:t>(£0.9m less 5% notional high needs and early years</w:t>
      </w:r>
      <w:r w:rsidR="00D85B8B">
        <w:rPr>
          <w:rFonts w:cs="Arial"/>
          <w:sz w:val="26"/>
          <w:szCs w:val="26"/>
        </w:rPr>
        <w:t xml:space="preserve"> deduction</w:t>
      </w:r>
      <w:r w:rsidR="00DC68F4">
        <w:rPr>
          <w:rFonts w:cs="Arial"/>
          <w:sz w:val="26"/>
          <w:szCs w:val="26"/>
        </w:rPr>
        <w:t xml:space="preserve">) </w:t>
      </w:r>
      <w:r>
        <w:rPr>
          <w:rFonts w:cs="Arial"/>
          <w:sz w:val="26"/>
          <w:szCs w:val="26"/>
        </w:rPr>
        <w:t xml:space="preserve">on </w:t>
      </w:r>
      <w:r w:rsidR="00DC68F4">
        <w:rPr>
          <w:rFonts w:cs="Arial"/>
          <w:sz w:val="26"/>
          <w:szCs w:val="26"/>
        </w:rPr>
        <w:t xml:space="preserve">its </w:t>
      </w:r>
      <w:r>
        <w:rPr>
          <w:rFonts w:cs="Arial"/>
          <w:sz w:val="26"/>
          <w:szCs w:val="26"/>
        </w:rPr>
        <w:t xml:space="preserve">corporate asset </w:t>
      </w:r>
      <w:r>
        <w:rPr>
          <w:rFonts w:cs="Arial"/>
          <w:sz w:val="26"/>
          <w:szCs w:val="26"/>
        </w:rPr>
        <w:lastRenderedPageBreak/>
        <w:t>responsibilities</w:t>
      </w:r>
      <w:r w:rsidR="00DC68F4">
        <w:rPr>
          <w:rFonts w:cs="Arial"/>
          <w:sz w:val="26"/>
          <w:szCs w:val="26"/>
        </w:rPr>
        <w:t>, equivalent to £12.57 per mainstream pupil -</w:t>
      </w:r>
      <w:r>
        <w:rPr>
          <w:rFonts w:cs="Arial"/>
          <w:sz w:val="26"/>
          <w:szCs w:val="26"/>
        </w:rPr>
        <w:t xml:space="preserve">. However, if this cost were to be recovered in full this would </w:t>
      </w:r>
      <w:r w:rsidR="009F5779">
        <w:rPr>
          <w:rFonts w:cs="Arial"/>
          <w:sz w:val="26"/>
          <w:szCs w:val="26"/>
        </w:rPr>
        <w:t xml:space="preserve">increase </w:t>
      </w:r>
      <w:r>
        <w:rPr>
          <w:rFonts w:cs="Arial"/>
          <w:sz w:val="26"/>
          <w:szCs w:val="26"/>
        </w:rPr>
        <w:t xml:space="preserve">the total cost per </w:t>
      </w:r>
      <w:r w:rsidR="00DC68F4">
        <w:rPr>
          <w:rFonts w:cs="Arial"/>
          <w:sz w:val="26"/>
          <w:szCs w:val="26"/>
        </w:rPr>
        <w:t xml:space="preserve">mainstream </w:t>
      </w:r>
      <w:r>
        <w:rPr>
          <w:rFonts w:cs="Arial"/>
          <w:sz w:val="26"/>
          <w:szCs w:val="26"/>
        </w:rPr>
        <w:t>pupil to £2</w:t>
      </w:r>
      <w:r w:rsidR="00DC68F4">
        <w:rPr>
          <w:rFonts w:cs="Arial"/>
          <w:sz w:val="26"/>
          <w:szCs w:val="26"/>
        </w:rPr>
        <w:t>1</w:t>
      </w:r>
      <w:r>
        <w:rPr>
          <w:rFonts w:cs="Arial"/>
          <w:sz w:val="26"/>
          <w:szCs w:val="26"/>
        </w:rPr>
        <w:t>.</w:t>
      </w:r>
      <w:r w:rsidR="00705BA4">
        <w:rPr>
          <w:rFonts w:cs="Arial"/>
          <w:sz w:val="26"/>
          <w:szCs w:val="26"/>
        </w:rPr>
        <w:t>43</w:t>
      </w:r>
      <w:r>
        <w:rPr>
          <w:rFonts w:cs="Arial"/>
          <w:sz w:val="26"/>
          <w:szCs w:val="26"/>
        </w:rPr>
        <w:t>.</w:t>
      </w:r>
    </w:p>
    <w:p w:rsidR="00D85B8B" w:rsidP="00A0266A" w:rsidRDefault="00D85B8B">
      <w:pPr>
        <w:rPr>
          <w:rFonts w:cs="Arial"/>
          <w:sz w:val="26"/>
          <w:szCs w:val="26"/>
        </w:rPr>
      </w:pPr>
    </w:p>
    <w:p w:rsidR="00D85B8B" w:rsidP="00A0266A" w:rsidRDefault="00AB1A03">
      <w:pPr>
        <w:rPr>
          <w:rFonts w:cs="Arial"/>
          <w:sz w:val="26"/>
          <w:szCs w:val="26"/>
        </w:rPr>
      </w:pPr>
      <w:r>
        <w:rPr>
          <w:rFonts w:cs="Arial"/>
          <w:sz w:val="26"/>
          <w:szCs w:val="26"/>
        </w:rPr>
        <w:t>The Authority is mindful that</w:t>
      </w:r>
      <w:r w:rsidR="009F5779">
        <w:rPr>
          <w:rFonts w:cs="Arial"/>
          <w:sz w:val="26"/>
          <w:szCs w:val="26"/>
        </w:rPr>
        <w:t>,</w:t>
      </w:r>
      <w:r>
        <w:rPr>
          <w:rFonts w:cs="Arial"/>
          <w:sz w:val="26"/>
          <w:szCs w:val="26"/>
        </w:rPr>
        <w:t xml:space="preserve"> despite the overall increase in DSG funding over the next two years</w:t>
      </w:r>
      <w:r w:rsidR="009262F2">
        <w:rPr>
          <w:rFonts w:cs="Arial"/>
          <w:sz w:val="26"/>
          <w:szCs w:val="26"/>
        </w:rPr>
        <w:t xml:space="preserve">, </w:t>
      </w:r>
      <w:r>
        <w:rPr>
          <w:rFonts w:cs="Arial"/>
          <w:sz w:val="26"/>
          <w:szCs w:val="26"/>
        </w:rPr>
        <w:t xml:space="preserve">the financial position for many </w:t>
      </w:r>
      <w:r w:rsidR="00D85B8B">
        <w:rPr>
          <w:rFonts w:cs="Arial"/>
          <w:sz w:val="26"/>
          <w:szCs w:val="26"/>
        </w:rPr>
        <w:t xml:space="preserve">mainstream </w:t>
      </w:r>
      <w:r>
        <w:rPr>
          <w:rFonts w:cs="Arial"/>
          <w:sz w:val="26"/>
          <w:szCs w:val="26"/>
        </w:rPr>
        <w:t>schools will remain tight, particularly for those that do less well under the National Funding Formula.</w:t>
      </w:r>
      <w:r w:rsidR="00605A4D">
        <w:rPr>
          <w:rFonts w:cs="Arial"/>
          <w:sz w:val="26"/>
          <w:szCs w:val="26"/>
        </w:rPr>
        <w:t xml:space="preserve">  </w:t>
      </w:r>
    </w:p>
    <w:p w:rsidR="00D85B8B" w:rsidP="00A0266A" w:rsidRDefault="00D85B8B">
      <w:pPr>
        <w:rPr>
          <w:rFonts w:cs="Arial"/>
          <w:sz w:val="26"/>
          <w:szCs w:val="26"/>
        </w:rPr>
      </w:pPr>
    </w:p>
    <w:p w:rsidR="00D85B8B" w:rsidP="00A0266A" w:rsidRDefault="009262F2">
      <w:pPr>
        <w:rPr>
          <w:rFonts w:cs="Arial"/>
          <w:sz w:val="26"/>
          <w:szCs w:val="26"/>
        </w:rPr>
      </w:pPr>
      <w:r>
        <w:rPr>
          <w:rFonts w:cs="Arial"/>
          <w:sz w:val="26"/>
          <w:szCs w:val="26"/>
        </w:rPr>
        <w:t>In order to keep cost</w:t>
      </w:r>
      <w:r w:rsidR="009F5779">
        <w:rPr>
          <w:rFonts w:cs="Arial"/>
          <w:sz w:val="26"/>
          <w:szCs w:val="26"/>
        </w:rPr>
        <w:t>s</w:t>
      </w:r>
      <w:r>
        <w:rPr>
          <w:rFonts w:cs="Arial"/>
          <w:sz w:val="26"/>
          <w:szCs w:val="26"/>
        </w:rPr>
        <w:t xml:space="preserve"> to schools manageable</w:t>
      </w:r>
      <w:r w:rsidR="002463B9">
        <w:rPr>
          <w:rFonts w:cs="Arial"/>
          <w:sz w:val="26"/>
          <w:szCs w:val="26"/>
        </w:rPr>
        <w:t>,</w:t>
      </w:r>
      <w:r>
        <w:rPr>
          <w:rFonts w:cs="Arial"/>
          <w:sz w:val="26"/>
          <w:szCs w:val="26"/>
        </w:rPr>
        <w:t xml:space="preserve"> t</w:t>
      </w:r>
      <w:r w:rsidR="00AB1A03">
        <w:rPr>
          <w:rFonts w:cs="Arial"/>
          <w:sz w:val="26"/>
          <w:szCs w:val="26"/>
        </w:rPr>
        <w:t xml:space="preserve">he </w:t>
      </w:r>
      <w:r>
        <w:rPr>
          <w:rFonts w:cs="Arial"/>
          <w:sz w:val="26"/>
          <w:szCs w:val="26"/>
        </w:rPr>
        <w:t xml:space="preserve">Authority is </w:t>
      </w:r>
      <w:r w:rsidR="009F5779">
        <w:rPr>
          <w:rFonts w:cs="Arial"/>
          <w:sz w:val="26"/>
          <w:szCs w:val="26"/>
        </w:rPr>
        <w:t xml:space="preserve">seeking </w:t>
      </w:r>
      <w:r>
        <w:rPr>
          <w:rFonts w:cs="Arial"/>
          <w:sz w:val="26"/>
          <w:szCs w:val="26"/>
        </w:rPr>
        <w:t>an abated contribution of £5 per pupil for 2018-19 in respect of corporate property</w:t>
      </w:r>
      <w:r w:rsidR="002463B9">
        <w:rPr>
          <w:rFonts w:cs="Arial"/>
          <w:sz w:val="26"/>
          <w:szCs w:val="26"/>
        </w:rPr>
        <w:t xml:space="preserve">.  The position would then be reviewed </w:t>
      </w:r>
      <w:r w:rsidR="00872F31">
        <w:rPr>
          <w:rFonts w:cs="Arial"/>
          <w:sz w:val="26"/>
          <w:szCs w:val="26"/>
        </w:rPr>
        <w:t xml:space="preserve">in 12 months’ time </w:t>
      </w:r>
      <w:r w:rsidR="002463B9">
        <w:rPr>
          <w:rFonts w:cs="Arial"/>
          <w:sz w:val="26"/>
          <w:szCs w:val="26"/>
        </w:rPr>
        <w:t xml:space="preserve">with the </w:t>
      </w:r>
      <w:r w:rsidR="00D85B8B">
        <w:rPr>
          <w:rFonts w:cs="Arial"/>
          <w:sz w:val="26"/>
          <w:szCs w:val="26"/>
        </w:rPr>
        <w:t xml:space="preserve">Authority </w:t>
      </w:r>
      <w:r w:rsidR="002463B9">
        <w:rPr>
          <w:rFonts w:cs="Arial"/>
          <w:sz w:val="26"/>
          <w:szCs w:val="26"/>
        </w:rPr>
        <w:t xml:space="preserve">meeting the </w:t>
      </w:r>
      <w:r w:rsidR="00D85B8B">
        <w:rPr>
          <w:rFonts w:cs="Arial"/>
          <w:sz w:val="26"/>
          <w:szCs w:val="26"/>
        </w:rPr>
        <w:t>shortfall</w:t>
      </w:r>
      <w:r w:rsidR="002463B9">
        <w:rPr>
          <w:rFonts w:cs="Arial"/>
          <w:sz w:val="26"/>
          <w:szCs w:val="26"/>
        </w:rPr>
        <w:t xml:space="preserve"> in the interim</w:t>
      </w:r>
      <w:r w:rsidR="00D85B8B">
        <w:rPr>
          <w:rFonts w:cs="Arial"/>
          <w:sz w:val="26"/>
          <w:szCs w:val="26"/>
        </w:rPr>
        <w:t>.</w:t>
      </w:r>
    </w:p>
    <w:p w:rsidR="00D85B8B" w:rsidP="00A0266A" w:rsidRDefault="00D85B8B">
      <w:pPr>
        <w:rPr>
          <w:rFonts w:cs="Arial"/>
          <w:sz w:val="26"/>
          <w:szCs w:val="26"/>
        </w:rPr>
      </w:pPr>
    </w:p>
    <w:p w:rsidR="009262F2" w:rsidP="00A0266A" w:rsidRDefault="009262F2">
      <w:pPr>
        <w:rPr>
          <w:rFonts w:cs="Arial"/>
          <w:sz w:val="26"/>
          <w:szCs w:val="26"/>
        </w:rPr>
      </w:pPr>
      <w:r>
        <w:rPr>
          <w:rFonts w:cs="Arial"/>
          <w:sz w:val="26"/>
          <w:szCs w:val="26"/>
        </w:rPr>
        <w:t xml:space="preserve">If the Forum were to agree to top-slice funding from mainstream schools’ budgets for all </w:t>
      </w:r>
      <w:r w:rsidR="00605A4D">
        <w:rPr>
          <w:rFonts w:cs="Arial"/>
          <w:sz w:val="26"/>
          <w:szCs w:val="26"/>
        </w:rPr>
        <w:t xml:space="preserve">of </w:t>
      </w:r>
      <w:r>
        <w:rPr>
          <w:rFonts w:cs="Arial"/>
          <w:sz w:val="26"/>
          <w:szCs w:val="26"/>
        </w:rPr>
        <w:t>the services in th</w:t>
      </w:r>
      <w:r w:rsidR="00605A4D">
        <w:rPr>
          <w:rFonts w:cs="Arial"/>
          <w:sz w:val="26"/>
          <w:szCs w:val="26"/>
        </w:rPr>
        <w:t xml:space="preserve">is report, </w:t>
      </w:r>
      <w:r>
        <w:rPr>
          <w:rFonts w:cs="Arial"/>
          <w:sz w:val="26"/>
          <w:szCs w:val="26"/>
        </w:rPr>
        <w:t>a total levy of £1</w:t>
      </w:r>
      <w:r w:rsidR="00482CB2">
        <w:rPr>
          <w:rFonts w:cs="Arial"/>
          <w:sz w:val="26"/>
          <w:szCs w:val="26"/>
        </w:rPr>
        <w:t>3.86</w:t>
      </w:r>
      <w:r>
        <w:rPr>
          <w:rFonts w:cs="Arial"/>
          <w:sz w:val="26"/>
          <w:szCs w:val="26"/>
        </w:rPr>
        <w:t xml:space="preserve"> per pupil would apply. For an average sized primary school with 170 on roll this would equate to a charge of </w:t>
      </w:r>
      <w:r w:rsidR="00482CB2">
        <w:rPr>
          <w:rFonts w:cs="Arial"/>
          <w:sz w:val="26"/>
          <w:szCs w:val="26"/>
        </w:rPr>
        <w:t>~</w:t>
      </w:r>
      <w:r>
        <w:rPr>
          <w:rFonts w:cs="Arial"/>
          <w:sz w:val="26"/>
          <w:szCs w:val="26"/>
        </w:rPr>
        <w:t>£2,3</w:t>
      </w:r>
      <w:r w:rsidR="00482CB2">
        <w:rPr>
          <w:rFonts w:cs="Arial"/>
          <w:sz w:val="26"/>
          <w:szCs w:val="26"/>
        </w:rPr>
        <w:t>60</w:t>
      </w:r>
      <w:r>
        <w:rPr>
          <w:rFonts w:cs="Arial"/>
          <w:sz w:val="26"/>
          <w:szCs w:val="26"/>
        </w:rPr>
        <w:t xml:space="preserve"> for the year. An average sized secondary school with 825 on roll would be </w:t>
      </w:r>
      <w:r w:rsidR="00D85B8B">
        <w:rPr>
          <w:rFonts w:cs="Arial"/>
          <w:sz w:val="26"/>
          <w:szCs w:val="26"/>
        </w:rPr>
        <w:t xml:space="preserve">charged </w:t>
      </w:r>
      <w:r w:rsidR="00482CB2">
        <w:rPr>
          <w:rFonts w:cs="Arial"/>
          <w:sz w:val="26"/>
          <w:szCs w:val="26"/>
        </w:rPr>
        <w:t>~</w:t>
      </w:r>
      <w:r>
        <w:rPr>
          <w:rFonts w:cs="Arial"/>
          <w:sz w:val="26"/>
          <w:szCs w:val="26"/>
        </w:rPr>
        <w:t>£11,</w:t>
      </w:r>
      <w:r w:rsidR="00482CB2">
        <w:rPr>
          <w:rFonts w:cs="Arial"/>
          <w:sz w:val="26"/>
          <w:szCs w:val="26"/>
        </w:rPr>
        <w:t>43</w:t>
      </w:r>
      <w:r>
        <w:rPr>
          <w:rFonts w:cs="Arial"/>
          <w:sz w:val="26"/>
          <w:szCs w:val="26"/>
        </w:rPr>
        <w:t xml:space="preserve">0. </w:t>
      </w:r>
    </w:p>
    <w:p w:rsidR="009262F2" w:rsidP="00A0266A" w:rsidRDefault="009262F2">
      <w:pPr>
        <w:rPr>
          <w:rFonts w:cs="Arial"/>
          <w:sz w:val="26"/>
          <w:szCs w:val="26"/>
        </w:rPr>
      </w:pPr>
    </w:p>
    <w:p w:rsidR="00605A4D" w:rsidP="00A0266A" w:rsidRDefault="00605A4D">
      <w:pPr>
        <w:rPr>
          <w:rFonts w:cs="Arial"/>
          <w:sz w:val="26"/>
          <w:szCs w:val="26"/>
        </w:rPr>
      </w:pPr>
      <w:r>
        <w:rPr>
          <w:rFonts w:cs="Arial"/>
          <w:sz w:val="26"/>
          <w:szCs w:val="26"/>
        </w:rPr>
        <w:t>The Authority considers that top-slicing of schools</w:t>
      </w:r>
      <w:r w:rsidR="00482CB2">
        <w:rPr>
          <w:rFonts w:cs="Arial"/>
          <w:sz w:val="26"/>
          <w:szCs w:val="26"/>
        </w:rPr>
        <w:t>’</w:t>
      </w:r>
      <w:r>
        <w:rPr>
          <w:rFonts w:cs="Arial"/>
          <w:sz w:val="26"/>
          <w:szCs w:val="26"/>
        </w:rPr>
        <w:t xml:space="preserve"> budgets is the preferred option for 2018-19. If monies are not top-sliced then</w:t>
      </w:r>
      <w:r w:rsidR="002463B9">
        <w:rPr>
          <w:rFonts w:cs="Arial"/>
          <w:sz w:val="26"/>
          <w:szCs w:val="26"/>
        </w:rPr>
        <w:t>,</w:t>
      </w:r>
      <w:r>
        <w:rPr>
          <w:rFonts w:cs="Arial"/>
          <w:sz w:val="26"/>
          <w:szCs w:val="26"/>
        </w:rPr>
        <w:t xml:space="preserve"> as the services are still statutory functi</w:t>
      </w:r>
      <w:r w:rsidR="002463B9">
        <w:rPr>
          <w:rFonts w:cs="Arial"/>
          <w:sz w:val="26"/>
          <w:szCs w:val="26"/>
        </w:rPr>
        <w:t xml:space="preserve">ons, the Authority or schools would </w:t>
      </w:r>
      <w:r>
        <w:rPr>
          <w:rFonts w:cs="Arial"/>
          <w:sz w:val="26"/>
          <w:szCs w:val="26"/>
        </w:rPr>
        <w:t>still have to undertake the necessary work. Where the Authority provides the service to schools this would either be covered by a traded services arrangement or in some cases, by a separate charging structure.</w:t>
      </w:r>
      <w:r w:rsidR="00D85B8B">
        <w:rPr>
          <w:rFonts w:cs="Arial"/>
          <w:sz w:val="26"/>
          <w:szCs w:val="26"/>
        </w:rPr>
        <w:t xml:space="preserve"> The Authority is concerned that many schools, particularly small schools, will not have the capacity to discharge </w:t>
      </w:r>
      <w:r w:rsidR="002463B9">
        <w:rPr>
          <w:rFonts w:cs="Arial"/>
          <w:sz w:val="26"/>
          <w:szCs w:val="26"/>
        </w:rPr>
        <w:t xml:space="preserve">all </w:t>
      </w:r>
      <w:r w:rsidR="00D85B8B">
        <w:rPr>
          <w:rFonts w:cs="Arial"/>
          <w:sz w:val="26"/>
          <w:szCs w:val="26"/>
        </w:rPr>
        <w:t>of the responsibilities</w:t>
      </w:r>
      <w:r w:rsidR="002463B9">
        <w:rPr>
          <w:rFonts w:cs="Arial"/>
          <w:sz w:val="26"/>
          <w:szCs w:val="26"/>
        </w:rPr>
        <w:t xml:space="preserve"> effectively</w:t>
      </w:r>
      <w:r w:rsidR="00D85B8B">
        <w:rPr>
          <w:rFonts w:cs="Arial"/>
          <w:sz w:val="26"/>
          <w:szCs w:val="26"/>
        </w:rPr>
        <w:t xml:space="preserve">.  </w:t>
      </w:r>
    </w:p>
    <w:p w:rsidR="009F5779" w:rsidP="00A0266A" w:rsidRDefault="009F5779">
      <w:pPr>
        <w:rPr>
          <w:rFonts w:cs="Arial"/>
          <w:sz w:val="26"/>
          <w:szCs w:val="26"/>
        </w:rPr>
      </w:pPr>
    </w:p>
    <w:p w:rsidR="009F5779" w:rsidP="00A0266A" w:rsidRDefault="009F5779">
      <w:pPr>
        <w:rPr>
          <w:rFonts w:cs="Arial"/>
          <w:sz w:val="26"/>
          <w:szCs w:val="26"/>
        </w:rPr>
      </w:pPr>
      <w:r>
        <w:rPr>
          <w:rFonts w:cs="Arial"/>
          <w:sz w:val="26"/>
          <w:szCs w:val="26"/>
        </w:rPr>
        <w:t xml:space="preserve">The decision on </w:t>
      </w:r>
      <w:r w:rsidR="00FD5575">
        <w:rPr>
          <w:rFonts w:cs="Arial"/>
          <w:sz w:val="26"/>
          <w:szCs w:val="26"/>
        </w:rPr>
        <w:t>whether</w:t>
      </w:r>
      <w:r>
        <w:rPr>
          <w:rFonts w:cs="Arial"/>
          <w:sz w:val="26"/>
          <w:szCs w:val="26"/>
        </w:rPr>
        <w:t xml:space="preserve"> or not to top-slice services is a matter for the schools representatives on the Schools Forum. However, the DfE expect that any monies </w:t>
      </w:r>
      <w:r w:rsidR="00FD5575">
        <w:rPr>
          <w:rFonts w:cs="Arial"/>
          <w:sz w:val="26"/>
          <w:szCs w:val="26"/>
        </w:rPr>
        <w:t xml:space="preserve">are </w:t>
      </w:r>
      <w:r>
        <w:rPr>
          <w:rFonts w:cs="Arial"/>
          <w:sz w:val="26"/>
          <w:szCs w:val="26"/>
        </w:rPr>
        <w:t xml:space="preserve">top-sliced </w:t>
      </w:r>
      <w:r w:rsidR="00FD5575">
        <w:rPr>
          <w:rFonts w:cs="Arial"/>
          <w:sz w:val="26"/>
          <w:szCs w:val="26"/>
        </w:rPr>
        <w:t>on a simple per-pupil basis across both sectors.</w:t>
      </w:r>
      <w:r w:rsidR="003C3B46">
        <w:rPr>
          <w:rFonts w:cs="Arial"/>
          <w:sz w:val="26"/>
          <w:szCs w:val="26"/>
        </w:rPr>
        <w:t xml:space="preserve"> Top-slicing of budgets is an annual issue so any decisions to top-slice would apply for 2018-19 only. </w:t>
      </w:r>
    </w:p>
    <w:p w:rsidR="00605A4D" w:rsidP="00A0266A" w:rsidRDefault="00605A4D">
      <w:pPr>
        <w:rPr>
          <w:rFonts w:cs="Arial"/>
          <w:sz w:val="26"/>
          <w:szCs w:val="26"/>
        </w:rPr>
      </w:pPr>
    </w:p>
    <w:p w:rsidRPr="006033F3" w:rsidR="0031193E" w:rsidP="0031193E" w:rsidRDefault="007A1900">
      <w:pPr>
        <w:rPr>
          <w:rFonts w:cs="Arial"/>
          <w:b/>
          <w:sz w:val="26"/>
          <w:szCs w:val="26"/>
          <w:u w:val="single"/>
        </w:rPr>
      </w:pPr>
      <w:r w:rsidRPr="006033F3">
        <w:rPr>
          <w:rFonts w:cs="Arial"/>
          <w:b/>
          <w:sz w:val="26"/>
          <w:szCs w:val="26"/>
        </w:rPr>
        <w:t>4</w:t>
      </w:r>
      <w:r w:rsidRPr="006033F3" w:rsidR="006D1BE8">
        <w:rPr>
          <w:rFonts w:cs="Arial"/>
          <w:b/>
          <w:sz w:val="26"/>
          <w:szCs w:val="26"/>
        </w:rPr>
        <w:t>.</w:t>
      </w:r>
      <w:r w:rsidRPr="006033F3" w:rsidR="0031193E">
        <w:rPr>
          <w:rFonts w:cs="Arial"/>
          <w:b/>
          <w:sz w:val="26"/>
          <w:szCs w:val="26"/>
        </w:rPr>
        <w:t xml:space="preserve"> </w:t>
      </w:r>
      <w:r w:rsidRPr="006033F3" w:rsidR="0031193E">
        <w:rPr>
          <w:rFonts w:cs="Arial"/>
          <w:b/>
          <w:sz w:val="26"/>
          <w:szCs w:val="26"/>
        </w:rPr>
        <w:tab/>
      </w:r>
      <w:r w:rsidRPr="006033F3" w:rsidR="0031193E">
        <w:rPr>
          <w:rFonts w:cs="Arial"/>
          <w:b/>
          <w:sz w:val="26"/>
          <w:szCs w:val="26"/>
          <w:u w:val="single"/>
        </w:rPr>
        <w:t>Other Considerations</w:t>
      </w:r>
    </w:p>
    <w:p w:rsidRPr="006033F3" w:rsidR="0031193E" w:rsidP="0031193E" w:rsidRDefault="0031193E">
      <w:pPr>
        <w:ind w:left="284"/>
        <w:jc w:val="both"/>
        <w:rPr>
          <w:rFonts w:cs="Arial"/>
          <w:sz w:val="22"/>
          <w:szCs w:val="26"/>
        </w:rPr>
      </w:pPr>
    </w:p>
    <w:p w:rsidRPr="006033F3" w:rsidR="0031193E" w:rsidP="00C14739" w:rsidRDefault="0031193E">
      <w:pPr>
        <w:rPr>
          <w:rFonts w:cs="Arial"/>
          <w:sz w:val="26"/>
          <w:szCs w:val="26"/>
        </w:rPr>
      </w:pPr>
      <w:r w:rsidRPr="006033F3">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6033F3" w:rsidR="00826324" w:rsidP="00826324" w:rsidRDefault="00826324">
      <w:pPr>
        <w:rPr>
          <w:rFonts w:cs="Arial"/>
          <w:b/>
          <w:sz w:val="26"/>
          <w:szCs w:val="26"/>
        </w:rPr>
      </w:pPr>
    </w:p>
    <w:p w:rsidRPr="006033F3" w:rsidR="00261E9C" w:rsidP="00261E9C" w:rsidRDefault="007A1900">
      <w:pPr>
        <w:rPr>
          <w:rFonts w:cs="Arial"/>
          <w:b/>
          <w:sz w:val="26"/>
          <w:szCs w:val="26"/>
          <w:u w:val="single"/>
        </w:rPr>
      </w:pPr>
      <w:r w:rsidRPr="006033F3">
        <w:rPr>
          <w:rFonts w:cs="Arial"/>
          <w:b/>
          <w:sz w:val="26"/>
          <w:szCs w:val="26"/>
        </w:rPr>
        <w:t>5</w:t>
      </w:r>
      <w:r w:rsidRPr="006033F3" w:rsidR="0031193E">
        <w:rPr>
          <w:rFonts w:cs="Arial"/>
          <w:b/>
          <w:sz w:val="26"/>
          <w:szCs w:val="26"/>
        </w:rPr>
        <w:t>.</w:t>
      </w:r>
      <w:r w:rsidRPr="006033F3" w:rsidR="00261E9C">
        <w:rPr>
          <w:rFonts w:cs="Arial"/>
          <w:b/>
          <w:sz w:val="26"/>
          <w:szCs w:val="26"/>
        </w:rPr>
        <w:tab/>
      </w:r>
      <w:r w:rsidRPr="006033F3" w:rsidR="00261E9C">
        <w:rPr>
          <w:rFonts w:cs="Arial"/>
          <w:b/>
          <w:sz w:val="26"/>
          <w:szCs w:val="26"/>
          <w:u w:val="single"/>
        </w:rPr>
        <w:t>Strategic Director’s Recommendations</w:t>
      </w:r>
    </w:p>
    <w:p w:rsidRPr="006033F3" w:rsidR="006845BD" w:rsidP="006845BD" w:rsidRDefault="006845BD">
      <w:pPr>
        <w:ind w:left="709" w:hanging="709"/>
        <w:rPr>
          <w:rFonts w:cs="Arial"/>
          <w:sz w:val="26"/>
          <w:szCs w:val="26"/>
        </w:rPr>
      </w:pPr>
    </w:p>
    <w:p w:rsidRPr="006033F3" w:rsidR="006D1BE8" w:rsidP="00261E9C" w:rsidRDefault="00FD5575">
      <w:pPr>
        <w:rPr>
          <w:rFonts w:cs="Arial"/>
          <w:sz w:val="26"/>
          <w:szCs w:val="26"/>
        </w:rPr>
      </w:pPr>
      <w:r>
        <w:rPr>
          <w:rFonts w:cs="Arial"/>
          <w:sz w:val="26"/>
          <w:szCs w:val="26"/>
        </w:rPr>
        <w:t xml:space="preserve">Mainstream school representatives on the </w:t>
      </w:r>
      <w:r w:rsidRPr="006033F3" w:rsidR="006D1BE8">
        <w:rPr>
          <w:rFonts w:cs="Arial"/>
          <w:sz w:val="26"/>
          <w:szCs w:val="26"/>
        </w:rPr>
        <w:t xml:space="preserve">Schools Forum </w:t>
      </w:r>
      <w:r>
        <w:rPr>
          <w:rFonts w:cs="Arial"/>
          <w:sz w:val="26"/>
          <w:szCs w:val="26"/>
        </w:rPr>
        <w:t xml:space="preserve">are </w:t>
      </w:r>
      <w:r w:rsidRPr="006033F3" w:rsidR="006D1BE8">
        <w:rPr>
          <w:rFonts w:cs="Arial"/>
          <w:sz w:val="26"/>
          <w:szCs w:val="26"/>
        </w:rPr>
        <w:t>asked to</w:t>
      </w:r>
      <w:r w:rsidR="00705BA4">
        <w:rPr>
          <w:rFonts w:cs="Arial"/>
          <w:sz w:val="26"/>
          <w:szCs w:val="26"/>
        </w:rPr>
        <w:t xml:space="preserve"> consider</w:t>
      </w:r>
      <w:r w:rsidRPr="006033F3" w:rsidR="006D1BE8">
        <w:rPr>
          <w:rFonts w:cs="Arial"/>
          <w:sz w:val="26"/>
          <w:szCs w:val="26"/>
        </w:rPr>
        <w:t>:</w:t>
      </w:r>
    </w:p>
    <w:p w:rsidRPr="006033F3" w:rsidR="006D1BE8" w:rsidP="00261E9C" w:rsidRDefault="006D1BE8">
      <w:pPr>
        <w:rPr>
          <w:rFonts w:cs="Arial"/>
          <w:sz w:val="26"/>
          <w:szCs w:val="26"/>
        </w:rPr>
      </w:pPr>
    </w:p>
    <w:p w:rsidR="00596002" w:rsidP="006D1BE8" w:rsidRDefault="00705BA4">
      <w:pPr>
        <w:pStyle w:val="ListParagraph"/>
        <w:numPr>
          <w:ilvl w:val="0"/>
          <w:numId w:val="34"/>
        </w:numPr>
        <w:rPr>
          <w:rFonts w:cs="Arial"/>
          <w:sz w:val="26"/>
          <w:szCs w:val="26"/>
        </w:rPr>
      </w:pPr>
      <w:r>
        <w:rPr>
          <w:rFonts w:cs="Arial"/>
          <w:sz w:val="26"/>
          <w:szCs w:val="26"/>
        </w:rPr>
        <w:t>W</w:t>
      </w:r>
      <w:r w:rsidR="00FD5575">
        <w:rPr>
          <w:rFonts w:cs="Arial"/>
          <w:sz w:val="26"/>
          <w:szCs w:val="26"/>
        </w:rPr>
        <w:t xml:space="preserve">hich </w:t>
      </w:r>
      <w:r w:rsidR="003C3B46">
        <w:rPr>
          <w:rFonts w:cs="Arial"/>
          <w:sz w:val="26"/>
          <w:szCs w:val="26"/>
        </w:rPr>
        <w:t xml:space="preserve">of </w:t>
      </w:r>
      <w:r w:rsidR="00FD5575">
        <w:rPr>
          <w:rFonts w:cs="Arial"/>
          <w:sz w:val="26"/>
          <w:szCs w:val="26"/>
        </w:rPr>
        <w:t>the services in Table 1 should be funded by a top-slice from schools’ budgets in 2018-19</w:t>
      </w:r>
      <w:r w:rsidR="00D85B8B">
        <w:rPr>
          <w:rFonts w:cs="Arial"/>
          <w:sz w:val="26"/>
          <w:szCs w:val="26"/>
        </w:rPr>
        <w:t xml:space="preserve">; </w:t>
      </w:r>
      <w:r w:rsidR="00FD5575">
        <w:rPr>
          <w:rFonts w:cs="Arial"/>
          <w:sz w:val="26"/>
          <w:szCs w:val="26"/>
        </w:rPr>
        <w:t>and</w:t>
      </w:r>
    </w:p>
    <w:p w:rsidRPr="00605A4D" w:rsidR="00D85B8B" w:rsidP="006D1BE8" w:rsidRDefault="00705BA4">
      <w:pPr>
        <w:pStyle w:val="ListParagraph"/>
        <w:numPr>
          <w:ilvl w:val="0"/>
          <w:numId w:val="34"/>
        </w:numPr>
        <w:rPr>
          <w:rFonts w:cs="Arial"/>
          <w:sz w:val="26"/>
          <w:szCs w:val="26"/>
        </w:rPr>
      </w:pPr>
      <w:r>
        <w:rPr>
          <w:rFonts w:cs="Arial"/>
          <w:sz w:val="26"/>
          <w:szCs w:val="26"/>
        </w:rPr>
        <w:t>W</w:t>
      </w:r>
      <w:r w:rsidR="00FD5575">
        <w:rPr>
          <w:rFonts w:cs="Arial"/>
          <w:sz w:val="26"/>
          <w:szCs w:val="26"/>
        </w:rPr>
        <w:t xml:space="preserve">hether </w:t>
      </w:r>
      <w:r w:rsidR="003C3B46">
        <w:rPr>
          <w:rFonts w:cs="Arial"/>
          <w:sz w:val="26"/>
          <w:szCs w:val="26"/>
        </w:rPr>
        <w:t xml:space="preserve">or not </w:t>
      </w:r>
      <w:r w:rsidR="00FD5575">
        <w:rPr>
          <w:rFonts w:cs="Arial"/>
          <w:sz w:val="26"/>
          <w:szCs w:val="26"/>
        </w:rPr>
        <w:t xml:space="preserve">to agree to a top-slice of £5 per pupil in respect of </w:t>
      </w:r>
      <w:r w:rsidR="005450C3">
        <w:rPr>
          <w:rFonts w:cs="Arial"/>
          <w:sz w:val="26"/>
          <w:szCs w:val="26"/>
        </w:rPr>
        <w:t xml:space="preserve">Corporate Property </w:t>
      </w:r>
      <w:r w:rsidR="00FD5575">
        <w:rPr>
          <w:rFonts w:cs="Arial"/>
          <w:sz w:val="26"/>
          <w:szCs w:val="26"/>
        </w:rPr>
        <w:t>s</w:t>
      </w:r>
      <w:r w:rsidR="005450C3">
        <w:rPr>
          <w:rFonts w:cs="Arial"/>
          <w:sz w:val="26"/>
          <w:szCs w:val="26"/>
        </w:rPr>
        <w:t xml:space="preserve">ervices </w:t>
      </w:r>
      <w:r w:rsidR="00FD5575">
        <w:rPr>
          <w:rFonts w:cs="Arial"/>
          <w:sz w:val="26"/>
          <w:szCs w:val="26"/>
        </w:rPr>
        <w:t>for 2018-19</w:t>
      </w:r>
      <w:r w:rsidR="005450C3">
        <w:rPr>
          <w:rFonts w:cs="Arial"/>
          <w:sz w:val="26"/>
          <w:szCs w:val="26"/>
        </w:rPr>
        <w:t>.</w:t>
      </w:r>
    </w:p>
    <w:p w:rsidRPr="006033F3" w:rsidR="001967CF" w:rsidP="00683019" w:rsidRDefault="001967CF">
      <w:pPr>
        <w:rPr>
          <w:rFonts w:cs="Arial"/>
          <w:sz w:val="26"/>
          <w:szCs w:val="26"/>
        </w:rPr>
      </w:pPr>
    </w:p>
    <w:p w:rsidRPr="006033F3" w:rsidR="0044304B" w:rsidP="0044304B" w:rsidRDefault="0044304B">
      <w:pPr>
        <w:ind w:left="709"/>
        <w:jc w:val="center"/>
        <w:rPr>
          <w:rFonts w:cs="Arial"/>
          <w:b/>
          <w:sz w:val="26"/>
          <w:szCs w:val="26"/>
        </w:rPr>
      </w:pPr>
      <w:r w:rsidRPr="006033F3">
        <w:rPr>
          <w:rFonts w:cs="Arial"/>
          <w:b/>
          <w:sz w:val="26"/>
          <w:szCs w:val="26"/>
        </w:rPr>
        <w:t xml:space="preserve">Jane Parfrement </w:t>
      </w:r>
    </w:p>
    <w:p w:rsidR="005450C3" w:rsidP="0044304B" w:rsidRDefault="0044304B">
      <w:pPr>
        <w:ind w:left="709"/>
        <w:jc w:val="center"/>
        <w:rPr>
          <w:rFonts w:cs="Arial"/>
          <w:b/>
          <w:sz w:val="26"/>
          <w:szCs w:val="26"/>
        </w:rPr>
      </w:pPr>
      <w:r w:rsidRPr="006033F3">
        <w:rPr>
          <w:rFonts w:cs="Arial"/>
          <w:b/>
          <w:sz w:val="26"/>
          <w:szCs w:val="26"/>
        </w:rPr>
        <w:t>Strategic Director for Children’s Services</w:t>
      </w:r>
      <w:r w:rsidR="005450C3">
        <w:rPr>
          <w:rFonts w:cs="Arial"/>
          <w:b/>
          <w:sz w:val="26"/>
          <w:szCs w:val="26"/>
        </w:rPr>
        <w:br w:type="page"/>
      </w:r>
    </w:p>
    <w:p w:rsidRPr="006033F3" w:rsidR="0044304B" w:rsidP="0044304B" w:rsidRDefault="0044304B">
      <w:pPr>
        <w:ind w:left="709"/>
        <w:jc w:val="center"/>
        <w:rPr>
          <w:rFonts w:cs="Arial"/>
          <w:b/>
          <w:sz w:val="26"/>
          <w:szCs w:val="26"/>
        </w:rPr>
      </w:pPr>
    </w:p>
    <w:p w:rsidRPr="006033F3" w:rsidR="0044304B" w:rsidP="0044304B" w:rsidRDefault="0044304B">
      <w:pPr>
        <w:rPr>
          <w:rFonts w:cs="Arial"/>
          <w:color w:val="FF0000"/>
          <w:sz w:val="26"/>
          <w:szCs w:val="26"/>
        </w:rPr>
      </w:pPr>
    </w:p>
    <w:p w:rsidRPr="006033F3" w:rsidR="001967CF" w:rsidP="00683019" w:rsidRDefault="001967CF">
      <w:pPr>
        <w:rPr>
          <w:rFonts w:cs="Arial"/>
          <w:sz w:val="26"/>
          <w:szCs w:val="26"/>
        </w:rPr>
        <w:sectPr w:rsidRPr="006033F3" w:rsidR="001967CF" w:rsidSect="009816C2">
          <w:footerReference w:type="default" r:id="rId8"/>
          <w:pgSz w:w="11906" w:h="16838"/>
          <w:pgMar w:top="709" w:right="849" w:bottom="851" w:left="1134" w:header="709" w:footer="127" w:gutter="0"/>
          <w:cols w:space="708"/>
          <w:docGrid w:linePitch="360"/>
        </w:sectPr>
      </w:pPr>
    </w:p>
    <w:p w:rsidRPr="00F65D07" w:rsidR="00596002" w:rsidP="000F4981" w:rsidRDefault="00596002">
      <w:pPr>
        <w:tabs>
          <w:tab w:val="left" w:pos="12758"/>
        </w:tabs>
        <w:ind w:left="360"/>
        <w:rPr>
          <w:rFonts w:cs="Arial"/>
          <w:b/>
          <w:sz w:val="26"/>
          <w:szCs w:val="26"/>
          <w:u w:val="single"/>
        </w:rPr>
      </w:pPr>
      <w:r w:rsidRPr="00F65D07">
        <w:rPr>
          <w:rFonts w:cs="Arial"/>
          <w:b/>
          <w:sz w:val="26"/>
          <w:szCs w:val="26"/>
          <w:u w:val="single"/>
        </w:rPr>
        <w:lastRenderedPageBreak/>
        <w:t>Summary of ESG General Duties Funded Services – Services to Maintained Schools only</w:t>
      </w:r>
      <w:r w:rsidRPr="00F65D07">
        <w:rPr>
          <w:rFonts w:cs="Arial"/>
          <w:b/>
          <w:sz w:val="26"/>
          <w:szCs w:val="26"/>
        </w:rPr>
        <w:tab/>
      </w:r>
      <w:r w:rsidRPr="00F65D07">
        <w:rPr>
          <w:rFonts w:cs="Arial"/>
          <w:b/>
          <w:sz w:val="26"/>
          <w:szCs w:val="26"/>
          <w:u w:val="single"/>
        </w:rPr>
        <w:t xml:space="preserve">Appendix </w:t>
      </w:r>
      <w:r w:rsidRPr="00F65D07" w:rsidR="00044A9A">
        <w:rPr>
          <w:rFonts w:cs="Arial"/>
          <w:b/>
          <w:sz w:val="26"/>
          <w:szCs w:val="26"/>
          <w:u w:val="single"/>
        </w:rPr>
        <w:t>1</w:t>
      </w:r>
    </w:p>
    <w:p w:rsidRPr="006033F3" w:rsidR="00AA41BB" w:rsidP="000F4981" w:rsidRDefault="00AA41BB">
      <w:pPr>
        <w:tabs>
          <w:tab w:val="left" w:pos="12758"/>
        </w:tabs>
        <w:ind w:left="360"/>
        <w:rPr>
          <w:rFonts w:cs="Arial"/>
          <w:u w:val="single"/>
        </w:rPr>
      </w:pPr>
    </w:p>
    <w:tbl>
      <w:tblPr>
        <w:tblStyle w:val="TableGrid"/>
        <w:tblW w:w="15304" w:type="dxa"/>
        <w:jc w:val="center"/>
        <w:tblLook w:val="04A0" w:firstRow="1" w:lastRow="0" w:firstColumn="1" w:lastColumn="0" w:noHBand="0" w:noVBand="1"/>
      </w:tblPr>
      <w:tblGrid>
        <w:gridCol w:w="4531"/>
        <w:gridCol w:w="5245"/>
        <w:gridCol w:w="851"/>
        <w:gridCol w:w="4677"/>
      </w:tblGrid>
      <w:tr w:rsidRPr="006033F3" w:rsidR="00D53C67" w:rsidTr="00F41B7D">
        <w:trPr>
          <w:trHeight w:val="555"/>
          <w:jc w:val="center"/>
        </w:trPr>
        <w:tc>
          <w:tcPr>
            <w:tcW w:w="4531" w:type="dxa"/>
            <w:vAlign w:val="center"/>
          </w:tcPr>
          <w:p w:rsidRPr="00F65D07" w:rsidR="00D53C67" w:rsidP="00AA41BB" w:rsidRDefault="00D53C67">
            <w:pPr>
              <w:rPr>
                <w:rFonts w:ascii="Arial" w:hAnsi="Arial" w:cs="Arial"/>
                <w:b/>
              </w:rPr>
            </w:pPr>
            <w:r w:rsidRPr="00F65D07">
              <w:rPr>
                <w:rFonts w:ascii="Arial" w:hAnsi="Arial" w:cs="Arial"/>
                <w:b/>
              </w:rPr>
              <w:t xml:space="preserve">Responsibilities local authorities hold for maintained schools only </w:t>
            </w:r>
          </w:p>
        </w:tc>
        <w:tc>
          <w:tcPr>
            <w:tcW w:w="5245" w:type="dxa"/>
            <w:vAlign w:val="center"/>
          </w:tcPr>
          <w:p w:rsidRPr="00F65D07" w:rsidR="00D53C67" w:rsidP="00AA41BB" w:rsidRDefault="00D53C67">
            <w:pPr>
              <w:jc w:val="center"/>
              <w:rPr>
                <w:rFonts w:ascii="Arial" w:hAnsi="Arial" w:cs="Arial"/>
                <w:b/>
              </w:rPr>
            </w:pPr>
            <w:r w:rsidRPr="00F65D07">
              <w:rPr>
                <w:rFonts w:ascii="Arial" w:hAnsi="Arial" w:cs="Arial"/>
                <w:b/>
              </w:rPr>
              <w:t>Narrative</w:t>
            </w:r>
          </w:p>
        </w:tc>
        <w:tc>
          <w:tcPr>
            <w:tcW w:w="851" w:type="dxa"/>
            <w:vAlign w:val="center"/>
          </w:tcPr>
          <w:p w:rsidRPr="00F65D07" w:rsidR="00D53C67" w:rsidP="00AA41BB" w:rsidRDefault="00D53C67">
            <w:pPr>
              <w:jc w:val="center"/>
              <w:rPr>
                <w:rFonts w:ascii="Arial" w:hAnsi="Arial" w:cs="Arial"/>
                <w:b/>
              </w:rPr>
            </w:pPr>
            <w:r w:rsidRPr="00F65D07">
              <w:rPr>
                <w:rFonts w:ascii="Arial" w:hAnsi="Arial" w:cs="Arial"/>
                <w:b/>
              </w:rPr>
              <w:t>Est’d value</w:t>
            </w:r>
          </w:p>
          <w:p w:rsidRPr="00F65D07" w:rsidR="00D53C67" w:rsidP="004671A1" w:rsidRDefault="00D53C67">
            <w:pPr>
              <w:jc w:val="center"/>
              <w:rPr>
                <w:rFonts w:ascii="Arial" w:hAnsi="Arial" w:cs="Arial"/>
                <w:b/>
              </w:rPr>
            </w:pPr>
            <w:r w:rsidRPr="00F65D07">
              <w:rPr>
                <w:rFonts w:ascii="Arial" w:hAnsi="Arial" w:cs="Arial"/>
                <w:b/>
              </w:rPr>
              <w:t>(£m)</w:t>
            </w:r>
          </w:p>
        </w:tc>
        <w:tc>
          <w:tcPr>
            <w:tcW w:w="4677" w:type="dxa"/>
            <w:vAlign w:val="center"/>
          </w:tcPr>
          <w:p w:rsidRPr="00F65D07" w:rsidR="00D53C67" w:rsidP="00D53C67" w:rsidRDefault="00D53C67">
            <w:pPr>
              <w:jc w:val="center"/>
              <w:rPr>
                <w:rFonts w:ascii="Arial" w:hAnsi="Arial" w:cs="Arial"/>
                <w:b/>
              </w:rPr>
            </w:pPr>
            <w:r w:rsidRPr="00F65D07">
              <w:rPr>
                <w:rFonts w:ascii="Arial" w:hAnsi="Arial" w:cs="Arial"/>
                <w:b/>
              </w:rPr>
              <w:t xml:space="preserve">Impact of not retaining </w:t>
            </w:r>
            <w:r w:rsidRPr="00F65D07" w:rsidR="004B20E5">
              <w:rPr>
                <w:rFonts w:ascii="Arial" w:hAnsi="Arial" w:cs="Arial"/>
                <w:b/>
              </w:rPr>
              <w:t xml:space="preserve">funds </w:t>
            </w:r>
            <w:r w:rsidRPr="00F65D07">
              <w:rPr>
                <w:rFonts w:ascii="Arial" w:hAnsi="Arial" w:cs="Arial"/>
                <w:b/>
              </w:rPr>
              <w:t>centrally</w:t>
            </w:r>
          </w:p>
        </w:tc>
      </w:tr>
      <w:tr w:rsidRPr="006033F3" w:rsidR="008C4E01" w:rsidTr="008C4E01">
        <w:trPr>
          <w:jc w:val="center"/>
        </w:trPr>
        <w:tc>
          <w:tcPr>
            <w:tcW w:w="9776" w:type="dxa"/>
            <w:gridSpan w:val="2"/>
            <w:vAlign w:val="center"/>
          </w:tcPr>
          <w:p w:rsidRPr="006033F3" w:rsidR="008C4E01" w:rsidP="008C4E01" w:rsidRDefault="008C4E01">
            <w:pPr>
              <w:pStyle w:val="ListParagraph"/>
              <w:numPr>
                <w:ilvl w:val="0"/>
                <w:numId w:val="46"/>
              </w:numPr>
              <w:ind w:hanging="720"/>
              <w:rPr>
                <w:rFonts w:ascii="Arial" w:hAnsi="Arial" w:cs="Arial"/>
                <w:u w:val="single"/>
              </w:rPr>
            </w:pPr>
            <w:r w:rsidRPr="006033F3">
              <w:rPr>
                <w:rFonts w:ascii="Arial" w:hAnsi="Arial" w:cs="Arial"/>
                <w:b/>
                <w:sz w:val="28"/>
                <w:szCs w:val="28"/>
                <w:u w:val="single"/>
              </w:rPr>
              <w:t>Statutory &amp; regulatory duties</w:t>
            </w:r>
          </w:p>
        </w:tc>
        <w:tc>
          <w:tcPr>
            <w:tcW w:w="851" w:type="dxa"/>
            <w:vAlign w:val="center"/>
          </w:tcPr>
          <w:p w:rsidRPr="006033F3" w:rsidR="008C4E01" w:rsidP="00AA41BB" w:rsidRDefault="008C4E01">
            <w:pPr>
              <w:pStyle w:val="DfESOutNumbered1"/>
              <w:numPr>
                <w:ilvl w:val="0"/>
                <w:numId w:val="0"/>
              </w:numPr>
              <w:tabs>
                <w:tab w:val="left" w:pos="1134"/>
                <w:tab w:val="left" w:pos="2563"/>
              </w:tabs>
              <w:jc w:val="center"/>
              <w:rPr>
                <w:rStyle w:val="Hyperlink"/>
                <w:rFonts w:cs="Arial"/>
                <w:sz w:val="22"/>
                <w:szCs w:val="22"/>
              </w:rPr>
            </w:pPr>
          </w:p>
        </w:tc>
        <w:tc>
          <w:tcPr>
            <w:tcW w:w="4677" w:type="dxa"/>
          </w:tcPr>
          <w:p w:rsidRPr="006033F3" w:rsidR="008C4E01" w:rsidP="00AA41BB" w:rsidRDefault="008C4E01">
            <w:pPr>
              <w:pStyle w:val="DfESOutNumbered1"/>
              <w:numPr>
                <w:ilvl w:val="0"/>
                <w:numId w:val="0"/>
              </w:numPr>
              <w:tabs>
                <w:tab w:val="left" w:pos="1134"/>
                <w:tab w:val="left" w:pos="2563"/>
              </w:tabs>
              <w:jc w:val="center"/>
              <w:rPr>
                <w:rStyle w:val="Hyperlink"/>
                <w:rFonts w:cs="Arial"/>
                <w:sz w:val="22"/>
                <w:szCs w:val="22"/>
              </w:rPr>
            </w:pPr>
          </w:p>
        </w:tc>
      </w:tr>
      <w:tr w:rsidRPr="006033F3" w:rsidR="00D53C67" w:rsidTr="006B3EA6">
        <w:trPr>
          <w:jc w:val="center"/>
        </w:trPr>
        <w:tc>
          <w:tcPr>
            <w:tcW w:w="4531" w:type="dxa"/>
            <w:vAlign w:val="center"/>
          </w:tcPr>
          <w:p w:rsidRPr="006033F3" w:rsidR="00D53C67" w:rsidP="00AA41BB" w:rsidRDefault="00D53C67">
            <w:pPr>
              <w:rPr>
                <w:rStyle w:val="Hyperlink"/>
                <w:rFonts w:cs="Arial"/>
                <w:color w:val="auto"/>
                <w:sz w:val="22"/>
                <w:u w:val="none"/>
              </w:rPr>
            </w:pPr>
            <w:r w:rsidRPr="006033F3">
              <w:rPr>
                <w:rFonts w:ascii="Arial" w:hAnsi="Arial" w:cs="Arial"/>
              </w:rPr>
              <w:t>Functions of LA related to best value and provision of advice to governing bodies in procuring goods and services (Sch 2, 56)</w:t>
            </w:r>
          </w:p>
        </w:tc>
        <w:tc>
          <w:tcPr>
            <w:tcW w:w="5245" w:type="dxa"/>
            <w:vAlign w:val="center"/>
          </w:tcPr>
          <w:p w:rsidRPr="006033F3" w:rsidR="00D53C67" w:rsidP="00AA41BB" w:rsidRDefault="00D53C67">
            <w:pPr>
              <w:jc w:val="center"/>
              <w:rPr>
                <w:rFonts w:ascii="Arial" w:hAnsi="Arial" w:cs="Arial"/>
              </w:rPr>
            </w:pPr>
            <w:r w:rsidRPr="006033F3">
              <w:rPr>
                <w:rFonts w:ascii="Arial" w:hAnsi="Arial" w:cs="Arial"/>
              </w:rPr>
              <w:t>Marginal additional cost</w:t>
            </w:r>
          </w:p>
        </w:tc>
        <w:tc>
          <w:tcPr>
            <w:tcW w:w="851" w:type="dxa"/>
            <w:vAlign w:val="center"/>
          </w:tcPr>
          <w:p w:rsidRPr="006033F3" w:rsidR="00D53C67" w:rsidP="00AA41BB" w:rsidRDefault="00D53C67">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w:t>
            </w:r>
          </w:p>
        </w:tc>
        <w:tc>
          <w:tcPr>
            <w:tcW w:w="4677" w:type="dxa"/>
            <w:vAlign w:val="center"/>
          </w:tcPr>
          <w:p w:rsidRPr="006033F3" w:rsidR="00D53C67" w:rsidP="00AA41BB" w:rsidRDefault="00FB157D">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D53C67" w:rsidTr="006B3EA6">
        <w:trPr>
          <w:jc w:val="center"/>
        </w:trPr>
        <w:tc>
          <w:tcPr>
            <w:tcW w:w="4531" w:type="dxa"/>
            <w:vAlign w:val="center"/>
          </w:tcPr>
          <w:p w:rsidRPr="006033F3" w:rsidR="00D53C67" w:rsidP="00AA41BB" w:rsidRDefault="00D53C67">
            <w:pPr>
              <w:rPr>
                <w:rFonts w:ascii="Arial" w:hAnsi="Arial" w:cs="Arial"/>
              </w:rPr>
            </w:pPr>
            <w:r w:rsidRPr="006033F3">
              <w:rPr>
                <w:rFonts w:ascii="Arial" w:hAnsi="Arial" w:cs="Arial"/>
              </w:rPr>
              <w:t>Budgeting and accounting functions relating to maintained schools</w:t>
            </w:r>
          </w:p>
          <w:p w:rsidRPr="006033F3" w:rsidR="00D53C67" w:rsidP="00AA41BB" w:rsidRDefault="00D53C67">
            <w:pPr>
              <w:rPr>
                <w:rStyle w:val="Hyperlink"/>
                <w:rFonts w:cs="Arial"/>
                <w:color w:val="auto"/>
                <w:sz w:val="22"/>
                <w:u w:val="none"/>
              </w:rPr>
            </w:pPr>
            <w:r w:rsidRPr="006033F3">
              <w:rPr>
                <w:rFonts w:ascii="Arial" w:hAnsi="Arial" w:cs="Arial"/>
              </w:rPr>
              <w:t>(Sch 2, 73)</w:t>
            </w:r>
          </w:p>
        </w:tc>
        <w:tc>
          <w:tcPr>
            <w:tcW w:w="5245" w:type="dxa"/>
            <w:vAlign w:val="center"/>
          </w:tcPr>
          <w:p w:rsidRPr="006033F3" w:rsidR="00D53C67" w:rsidP="00C95B0A" w:rsidRDefault="00C95B0A">
            <w:pPr>
              <w:jc w:val="center"/>
              <w:rPr>
                <w:rFonts w:ascii="Arial" w:hAnsi="Arial" w:cs="Arial"/>
              </w:rPr>
            </w:pPr>
            <w:r w:rsidRPr="006033F3">
              <w:rPr>
                <w:rFonts w:ascii="Arial" w:hAnsi="Arial" w:cs="Arial"/>
              </w:rPr>
              <w:t>R</w:t>
            </w:r>
            <w:r w:rsidRPr="006033F3" w:rsidR="006B3EA6">
              <w:rPr>
                <w:rFonts w:ascii="Arial" w:hAnsi="Arial" w:cs="Arial"/>
              </w:rPr>
              <w:t xml:space="preserve">evenue budget preparation, preparation of income and expenditure </w:t>
            </w:r>
            <w:r w:rsidRPr="006033F3">
              <w:rPr>
                <w:rFonts w:ascii="Arial" w:hAnsi="Arial" w:cs="Arial"/>
              </w:rPr>
              <w:t xml:space="preserve">accounts </w:t>
            </w:r>
            <w:r w:rsidRPr="006033F3" w:rsidR="006B3EA6">
              <w:rPr>
                <w:rFonts w:ascii="Arial" w:hAnsi="Arial" w:cs="Arial"/>
              </w:rPr>
              <w:t xml:space="preserve">for incorporation into the </w:t>
            </w:r>
            <w:r w:rsidRPr="006033F3">
              <w:rPr>
                <w:rFonts w:ascii="Arial" w:hAnsi="Arial" w:cs="Arial"/>
              </w:rPr>
              <w:t>A</w:t>
            </w:r>
            <w:r w:rsidRPr="006033F3" w:rsidR="006B3EA6">
              <w:rPr>
                <w:rFonts w:ascii="Arial" w:hAnsi="Arial" w:cs="Arial"/>
              </w:rPr>
              <w:t>uthority’s annual statement of accounts, external audit of grant claims and returns relating to education, in so far as those functions relate to maintained schools</w:t>
            </w:r>
          </w:p>
        </w:tc>
        <w:tc>
          <w:tcPr>
            <w:tcW w:w="851" w:type="dxa"/>
            <w:vAlign w:val="center"/>
          </w:tcPr>
          <w:p w:rsidRPr="006033F3" w:rsidR="00D53C67" w:rsidP="00756439" w:rsidRDefault="00756439">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0.010</w:t>
            </w:r>
          </w:p>
        </w:tc>
        <w:tc>
          <w:tcPr>
            <w:tcW w:w="4677" w:type="dxa"/>
            <w:vAlign w:val="center"/>
          </w:tcPr>
          <w:p w:rsidRPr="006033F3" w:rsidR="00D53C67" w:rsidP="00756439" w:rsidRDefault="00756439">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access to financial support, advice or guidance beyond that provided through the traded services arrangement. Alternative would be to increase traded services prices</w:t>
            </w:r>
          </w:p>
        </w:tc>
      </w:tr>
      <w:tr w:rsidRPr="006033F3" w:rsidR="00D53C67" w:rsidTr="00F41B7D">
        <w:trPr>
          <w:trHeight w:val="830"/>
          <w:jc w:val="center"/>
        </w:trPr>
        <w:tc>
          <w:tcPr>
            <w:tcW w:w="4531" w:type="dxa"/>
            <w:vAlign w:val="center"/>
          </w:tcPr>
          <w:p w:rsidRPr="006033F3" w:rsidR="00D53C67" w:rsidP="00AA41BB" w:rsidRDefault="00D53C67">
            <w:pPr>
              <w:pStyle w:val="DfESOutNumbered1"/>
              <w:numPr>
                <w:ilvl w:val="0"/>
                <w:numId w:val="0"/>
              </w:numPr>
              <w:tabs>
                <w:tab w:val="left" w:pos="1134"/>
                <w:tab w:val="left" w:pos="2563"/>
              </w:tabs>
              <w:rPr>
                <w:rStyle w:val="Hyperlink"/>
                <w:rFonts w:cs="Arial"/>
                <w:sz w:val="22"/>
                <w:szCs w:val="22"/>
              </w:rPr>
            </w:pPr>
            <w:r w:rsidRPr="006033F3">
              <w:rPr>
                <w:rFonts w:ascii="Arial" w:hAnsi="Arial" w:cs="Arial"/>
                <w:szCs w:val="22"/>
              </w:rPr>
              <w:t>Functions relating to the financing of maintained schools (Sch 2, 58)</w:t>
            </w:r>
          </w:p>
        </w:tc>
        <w:tc>
          <w:tcPr>
            <w:tcW w:w="5245" w:type="dxa"/>
            <w:vAlign w:val="center"/>
          </w:tcPr>
          <w:p w:rsidRPr="006033F3" w:rsidR="00D53C67" w:rsidP="00AA41BB" w:rsidRDefault="00C95B0A">
            <w:pPr>
              <w:jc w:val="center"/>
              <w:rPr>
                <w:rFonts w:ascii="Arial" w:hAnsi="Arial" w:cs="Arial"/>
              </w:rPr>
            </w:pPr>
            <w:r w:rsidRPr="006033F3">
              <w:rPr>
                <w:rFonts w:ascii="Arial" w:hAnsi="Arial" w:cs="Arial"/>
              </w:rPr>
              <w:t>Checking compliance with Financial Scheme of Management, monitoring community facilities operated by governing bodies</w:t>
            </w:r>
            <w:r w:rsidR="006033F3">
              <w:rPr>
                <w:rFonts w:ascii="Arial" w:hAnsi="Arial" w:cs="Arial"/>
              </w:rPr>
              <w:t>, help with SFVS</w:t>
            </w:r>
          </w:p>
        </w:tc>
        <w:tc>
          <w:tcPr>
            <w:tcW w:w="851" w:type="dxa"/>
            <w:vAlign w:val="center"/>
          </w:tcPr>
          <w:p w:rsidRPr="006033F3" w:rsidR="00D53C67" w:rsidP="00756439" w:rsidRDefault="00756439">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0.005</w:t>
            </w:r>
          </w:p>
        </w:tc>
        <w:tc>
          <w:tcPr>
            <w:tcW w:w="4677" w:type="dxa"/>
            <w:vAlign w:val="center"/>
          </w:tcPr>
          <w:p w:rsidRPr="006033F3" w:rsidR="00D53C67" w:rsidP="00AA41BB" w:rsidRDefault="00756439">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color w:val="auto"/>
                <w:sz w:val="22"/>
                <w:szCs w:val="22"/>
                <w:u w:val="none"/>
              </w:rPr>
              <w:t>Less external scrutiny of school operations, weaker governance, financial management and control. Increased risk of fraud</w:t>
            </w:r>
          </w:p>
        </w:tc>
      </w:tr>
      <w:tr w:rsidRPr="006033F3" w:rsidR="00D53C67" w:rsidTr="006B3EA6">
        <w:trPr>
          <w:jc w:val="center"/>
        </w:trPr>
        <w:tc>
          <w:tcPr>
            <w:tcW w:w="4531" w:type="dxa"/>
            <w:vAlign w:val="center"/>
          </w:tcPr>
          <w:p w:rsidRPr="006033F3" w:rsidR="00D53C67" w:rsidP="00AA41BB" w:rsidRDefault="00D53C67">
            <w:pPr>
              <w:rPr>
                <w:rFonts w:ascii="Arial" w:hAnsi="Arial" w:cs="Arial"/>
              </w:rPr>
            </w:pPr>
            <w:r w:rsidRPr="006033F3">
              <w:rPr>
                <w:rFonts w:ascii="Arial" w:hAnsi="Arial" w:cs="Arial"/>
              </w:rPr>
              <w:t xml:space="preserve">Authorisation and monitoring of expenditure in respect of schools which do not have delegated budgets and related financial administration </w:t>
            </w:r>
          </w:p>
          <w:p w:rsidRPr="006033F3" w:rsidR="00D53C67" w:rsidP="00AA41BB" w:rsidRDefault="00D53C67">
            <w:pPr>
              <w:rPr>
                <w:rStyle w:val="Hyperlink"/>
                <w:rFonts w:cs="Arial"/>
                <w:color w:val="auto"/>
                <w:sz w:val="22"/>
                <w:u w:val="none"/>
              </w:rPr>
            </w:pPr>
            <w:r w:rsidRPr="006033F3">
              <w:rPr>
                <w:rFonts w:ascii="Arial" w:hAnsi="Arial" w:cs="Arial"/>
              </w:rPr>
              <w:t>(Sch 2, 57)</w:t>
            </w:r>
          </w:p>
        </w:tc>
        <w:tc>
          <w:tcPr>
            <w:tcW w:w="5245" w:type="dxa"/>
            <w:vAlign w:val="center"/>
          </w:tcPr>
          <w:p w:rsidRPr="006033F3" w:rsidR="00D53C67" w:rsidP="00C95B0A" w:rsidRDefault="00D53C67">
            <w:pPr>
              <w:jc w:val="center"/>
              <w:rPr>
                <w:rFonts w:ascii="Arial" w:hAnsi="Arial" w:cs="Arial"/>
              </w:rPr>
            </w:pPr>
            <w:r w:rsidRPr="006033F3">
              <w:rPr>
                <w:rFonts w:ascii="Arial" w:hAnsi="Arial" w:cs="Arial"/>
              </w:rPr>
              <w:t xml:space="preserve">N/A – no schools have had powers removed </w:t>
            </w:r>
            <w:r w:rsidRPr="006033F3" w:rsidR="00C95B0A">
              <w:rPr>
                <w:rFonts w:ascii="Arial" w:hAnsi="Arial" w:cs="Arial"/>
              </w:rPr>
              <w:t xml:space="preserve">in recent </w:t>
            </w:r>
            <w:r w:rsidRPr="006033F3">
              <w:rPr>
                <w:rFonts w:ascii="Arial" w:hAnsi="Arial" w:cs="Arial"/>
              </w:rPr>
              <w:t>years</w:t>
            </w:r>
          </w:p>
        </w:tc>
        <w:tc>
          <w:tcPr>
            <w:tcW w:w="851" w:type="dxa"/>
            <w:vAlign w:val="center"/>
          </w:tcPr>
          <w:p w:rsidRPr="006033F3" w:rsidR="00D53C67" w:rsidP="00AA41BB" w:rsidRDefault="00D53C67">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w:t>
            </w:r>
          </w:p>
        </w:tc>
        <w:tc>
          <w:tcPr>
            <w:tcW w:w="4677" w:type="dxa"/>
            <w:vAlign w:val="center"/>
          </w:tcPr>
          <w:p w:rsidRPr="006033F3" w:rsidR="00D53C67" w:rsidP="00AA41BB" w:rsidRDefault="00FB157D">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D53C67" w:rsidTr="006B3EA6">
        <w:trPr>
          <w:jc w:val="center"/>
        </w:trPr>
        <w:tc>
          <w:tcPr>
            <w:tcW w:w="4531" w:type="dxa"/>
            <w:vAlign w:val="center"/>
          </w:tcPr>
          <w:p w:rsidRPr="006033F3" w:rsidR="00D53C67" w:rsidP="00AA41BB" w:rsidRDefault="00D53C67">
            <w:pPr>
              <w:rPr>
                <w:rStyle w:val="Hyperlink"/>
                <w:rFonts w:cs="Arial"/>
                <w:color w:val="auto"/>
                <w:sz w:val="22"/>
                <w:u w:val="none"/>
              </w:rPr>
            </w:pPr>
            <w:r w:rsidRPr="006033F3">
              <w:rPr>
                <w:rFonts w:ascii="Arial" w:hAnsi="Arial" w:cs="Arial"/>
              </w:rPr>
              <w:t>Monitoring of compliance with requirements in relation to the scheme for financing schools and the provision of community facilities by governing bodies (Sch 2, 58)</w:t>
            </w:r>
          </w:p>
        </w:tc>
        <w:tc>
          <w:tcPr>
            <w:tcW w:w="5245" w:type="dxa"/>
            <w:vAlign w:val="center"/>
          </w:tcPr>
          <w:p w:rsidRPr="006033F3" w:rsidR="00D53C67" w:rsidP="00AA41BB" w:rsidRDefault="00D53C67">
            <w:pPr>
              <w:jc w:val="center"/>
              <w:rPr>
                <w:rFonts w:ascii="Arial" w:hAnsi="Arial" w:cs="Arial"/>
              </w:rPr>
            </w:pPr>
            <w:r w:rsidRPr="006033F3">
              <w:rPr>
                <w:rFonts w:ascii="Arial" w:hAnsi="Arial" w:cs="Arial"/>
              </w:rPr>
              <w:t>Mainly covered by internal audit below</w:t>
            </w:r>
          </w:p>
        </w:tc>
        <w:tc>
          <w:tcPr>
            <w:tcW w:w="851" w:type="dxa"/>
            <w:vAlign w:val="center"/>
          </w:tcPr>
          <w:p w:rsidRPr="006033F3" w:rsidR="00D53C67" w:rsidP="00AA41BB" w:rsidRDefault="00756439">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w:t>
            </w:r>
          </w:p>
        </w:tc>
        <w:tc>
          <w:tcPr>
            <w:tcW w:w="4677" w:type="dxa"/>
            <w:vAlign w:val="center"/>
          </w:tcPr>
          <w:p w:rsidRPr="006033F3" w:rsidR="00D53C67" w:rsidP="00AA41BB" w:rsidRDefault="00FB157D">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D53C67" w:rsidTr="008C4E01">
        <w:trPr>
          <w:jc w:val="center"/>
        </w:trPr>
        <w:tc>
          <w:tcPr>
            <w:tcW w:w="4531" w:type="dxa"/>
            <w:vAlign w:val="center"/>
          </w:tcPr>
          <w:p w:rsidRPr="006033F3" w:rsidR="00D53C67" w:rsidP="007E0961" w:rsidRDefault="00D53C67">
            <w:pPr>
              <w:rPr>
                <w:rStyle w:val="Hyperlink"/>
                <w:rFonts w:cs="Arial"/>
                <w:color w:val="auto"/>
                <w:sz w:val="22"/>
                <w:u w:val="none"/>
              </w:rPr>
            </w:pPr>
            <w:r w:rsidRPr="006033F3">
              <w:rPr>
                <w:rFonts w:ascii="Arial" w:hAnsi="Arial" w:cs="Arial"/>
              </w:rPr>
              <w:t>Internal audit and other tasks related to the authority’s chief finance officer’s responsibilities under Section 151 of LGA 1972 for maintained schools (Sch 2, 59)</w:t>
            </w:r>
          </w:p>
        </w:tc>
        <w:tc>
          <w:tcPr>
            <w:tcW w:w="5245" w:type="dxa"/>
            <w:vAlign w:val="center"/>
          </w:tcPr>
          <w:p w:rsidRPr="006033F3" w:rsidR="00D53C67" w:rsidP="0095408D" w:rsidRDefault="00D53C67">
            <w:pPr>
              <w:rPr>
                <w:rFonts w:ascii="Arial" w:hAnsi="Arial" w:cs="Arial"/>
              </w:rPr>
            </w:pPr>
            <w:r w:rsidRPr="006033F3">
              <w:rPr>
                <w:rFonts w:ascii="Arial" w:hAnsi="Arial" w:cs="Arial"/>
              </w:rPr>
              <w:t>Provide guidance and support to schools in respect of internal control and governance frameworks i.e. Audit Matters newsletter. Respond to telephone calls requesting guidance and advice.  Provide training to Governors, Head Teachers, Bursars and administrative staff on the management of public funds and reducing fraud exposure e.</w:t>
            </w:r>
            <w:r w:rsidRPr="006033F3" w:rsidR="008C4E01">
              <w:rPr>
                <w:rFonts w:ascii="Arial" w:hAnsi="Arial" w:cs="Arial"/>
              </w:rPr>
              <w:t>g. g</w:t>
            </w:r>
            <w:r w:rsidRPr="006033F3">
              <w:rPr>
                <w:rFonts w:ascii="Arial" w:hAnsi="Arial" w:cs="Arial"/>
              </w:rPr>
              <w:t xml:space="preserve">overnor training sessions scheduled in November 2016. Undertake investigations into alleged fraudulent activities or mismanagement of school assets. </w:t>
            </w:r>
            <w:r w:rsidRPr="006033F3">
              <w:rPr>
                <w:rFonts w:ascii="Arial" w:hAnsi="Arial" w:cs="Arial"/>
              </w:rPr>
              <w:lastRenderedPageBreak/>
              <w:t xml:space="preserve">Ensure the Council meets its statutory accounting requirements. Provision of banking and exchequer services. Completion of statutory returns including </w:t>
            </w:r>
            <w:r w:rsidR="0095408D">
              <w:rPr>
                <w:rFonts w:ascii="Arial" w:hAnsi="Arial" w:cs="Arial"/>
              </w:rPr>
              <w:t>Revenue Account (</w:t>
            </w:r>
            <w:r w:rsidRPr="006033F3">
              <w:rPr>
                <w:rFonts w:ascii="Arial" w:hAnsi="Arial" w:cs="Arial"/>
              </w:rPr>
              <w:t>RA</w:t>
            </w:r>
            <w:r w:rsidR="0095408D">
              <w:rPr>
                <w:rFonts w:ascii="Arial" w:hAnsi="Arial" w:cs="Arial"/>
              </w:rPr>
              <w:t xml:space="preserve">) </w:t>
            </w:r>
            <w:r w:rsidRPr="006033F3">
              <w:rPr>
                <w:rFonts w:ascii="Arial" w:hAnsi="Arial" w:cs="Arial"/>
              </w:rPr>
              <w:t xml:space="preserve">and </w:t>
            </w:r>
            <w:r w:rsidR="0095408D">
              <w:rPr>
                <w:rFonts w:ascii="Arial" w:hAnsi="Arial" w:cs="Arial"/>
              </w:rPr>
              <w:t>Revenue Outturn (</w:t>
            </w:r>
            <w:r w:rsidRPr="006033F3">
              <w:rPr>
                <w:rFonts w:ascii="Arial" w:hAnsi="Arial" w:cs="Arial"/>
              </w:rPr>
              <w:t>RO</w:t>
            </w:r>
            <w:r w:rsidR="0095408D">
              <w:rPr>
                <w:rFonts w:ascii="Arial" w:hAnsi="Arial" w:cs="Arial"/>
              </w:rPr>
              <w:t>)</w:t>
            </w:r>
            <w:r w:rsidRPr="006033F3">
              <w:rPr>
                <w:rFonts w:ascii="Arial" w:hAnsi="Arial" w:cs="Arial"/>
              </w:rPr>
              <w:t xml:space="preserve"> forms</w:t>
            </w:r>
          </w:p>
        </w:tc>
        <w:tc>
          <w:tcPr>
            <w:tcW w:w="851" w:type="dxa"/>
            <w:vAlign w:val="center"/>
          </w:tcPr>
          <w:p w:rsidRPr="006033F3" w:rsidR="00D53C67" w:rsidP="004671A1" w:rsidRDefault="00D53C67">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lastRenderedPageBreak/>
              <w:t>0.140</w:t>
            </w:r>
          </w:p>
        </w:tc>
        <w:tc>
          <w:tcPr>
            <w:tcW w:w="4677" w:type="dxa"/>
            <w:vAlign w:val="center"/>
          </w:tcPr>
          <w:p w:rsidRPr="006033F3" w:rsidR="00D53C67" w:rsidP="008C4E01" w:rsidRDefault="008C4E01">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 xml:space="preserve">Less external scrutiny of school operations, weaker governance, financial management and control. Increased risk of fraud. </w:t>
            </w:r>
          </w:p>
          <w:p w:rsidRPr="006033F3" w:rsidR="008C4E01" w:rsidP="008C4E01" w:rsidRDefault="008C4E01">
            <w:pPr>
              <w:pStyle w:val="DfESOutNumbered1"/>
              <w:numPr>
                <w:ilvl w:val="0"/>
                <w:numId w:val="0"/>
              </w:numPr>
              <w:tabs>
                <w:tab w:val="left" w:pos="1134"/>
                <w:tab w:val="left" w:pos="2563"/>
              </w:tabs>
              <w:jc w:val="center"/>
              <w:rPr>
                <w:rStyle w:val="Hyperlink"/>
                <w:rFonts w:cs="Arial"/>
                <w:color w:val="auto"/>
                <w:sz w:val="22"/>
                <w:szCs w:val="22"/>
                <w:u w:val="none"/>
              </w:rPr>
            </w:pPr>
          </w:p>
          <w:p w:rsidRPr="006033F3" w:rsidR="008C4E01" w:rsidP="008C4E01" w:rsidRDefault="008C4E01">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 xml:space="preserve">Schools would be required to commission external audit to a standard and specification set by the Authority. This is likely to be more expensive than the current arrangements. </w:t>
            </w:r>
          </w:p>
        </w:tc>
      </w:tr>
      <w:tr w:rsidRPr="006033F3" w:rsidR="00D53C67" w:rsidTr="008C4E01">
        <w:trPr>
          <w:jc w:val="center"/>
        </w:trPr>
        <w:tc>
          <w:tcPr>
            <w:tcW w:w="4531" w:type="dxa"/>
            <w:vAlign w:val="center"/>
          </w:tcPr>
          <w:p w:rsidRPr="006033F3" w:rsidR="00D53C67" w:rsidP="007E0961" w:rsidRDefault="00D53C67">
            <w:pPr>
              <w:rPr>
                <w:rStyle w:val="Hyperlink"/>
                <w:rFonts w:cs="Arial"/>
                <w:color w:val="auto"/>
                <w:sz w:val="22"/>
                <w:u w:val="none"/>
              </w:rPr>
            </w:pPr>
            <w:r w:rsidRPr="006033F3">
              <w:rPr>
                <w:rFonts w:ascii="Arial" w:hAnsi="Arial" w:cs="Arial"/>
              </w:rPr>
              <w:t>Functions made under Section 44 of the 2002 Act (Consistent Financial Reporting) (Sch 2, 60)</w:t>
            </w:r>
          </w:p>
        </w:tc>
        <w:tc>
          <w:tcPr>
            <w:tcW w:w="5245" w:type="dxa"/>
            <w:vAlign w:val="center"/>
          </w:tcPr>
          <w:p w:rsidRPr="006033F3" w:rsidR="00D53C67" w:rsidP="00C95B0A" w:rsidRDefault="00C95B0A">
            <w:pPr>
              <w:rPr>
                <w:rFonts w:ascii="Arial" w:hAnsi="Arial" w:cs="Arial"/>
              </w:rPr>
            </w:pPr>
            <w:r w:rsidRPr="006033F3">
              <w:rPr>
                <w:rFonts w:ascii="Arial" w:hAnsi="Arial" w:cs="Arial"/>
              </w:rPr>
              <w:t>Preparation and submission of returns required DfE analysing schools budget and spending</w:t>
            </w:r>
          </w:p>
        </w:tc>
        <w:tc>
          <w:tcPr>
            <w:tcW w:w="851" w:type="dxa"/>
            <w:vAlign w:val="center"/>
          </w:tcPr>
          <w:p w:rsidRPr="006033F3" w:rsidR="00D53C67" w:rsidP="0026384C" w:rsidRDefault="00C95B0A">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0.00</w:t>
            </w:r>
            <w:r w:rsidR="0026384C">
              <w:rPr>
                <w:rStyle w:val="Hyperlink"/>
                <w:rFonts w:cs="Arial"/>
                <w:b/>
                <w:color w:val="auto"/>
                <w:sz w:val="22"/>
                <w:szCs w:val="22"/>
                <w:u w:val="none"/>
              </w:rPr>
              <w:t>2</w:t>
            </w:r>
          </w:p>
        </w:tc>
        <w:tc>
          <w:tcPr>
            <w:tcW w:w="4677" w:type="dxa"/>
          </w:tcPr>
          <w:p w:rsidRPr="006033F3" w:rsidR="00D53C67" w:rsidP="00C95B0A" w:rsidRDefault="00C95B0A">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color w:val="auto"/>
                <w:sz w:val="22"/>
                <w:szCs w:val="22"/>
                <w:u w:val="none"/>
              </w:rPr>
              <w:t>Schools would have to prepare and submit the returns to the DfE directly. Support would be available but would be charged for. Ability of some schools, particularly small schools, to complete the returns a concern.</w:t>
            </w:r>
          </w:p>
        </w:tc>
      </w:tr>
      <w:tr w:rsidRPr="006033F3" w:rsidR="00D53C67" w:rsidTr="00FB157D">
        <w:trPr>
          <w:trHeight w:val="1515"/>
          <w:jc w:val="center"/>
        </w:trPr>
        <w:tc>
          <w:tcPr>
            <w:tcW w:w="4531" w:type="dxa"/>
            <w:vAlign w:val="center"/>
          </w:tcPr>
          <w:p w:rsidRPr="006033F3" w:rsidR="00D53C67" w:rsidP="007E0961" w:rsidRDefault="00D53C67">
            <w:pPr>
              <w:rPr>
                <w:rStyle w:val="Hyperlink"/>
                <w:rFonts w:cs="Arial"/>
                <w:color w:val="auto"/>
                <w:sz w:val="22"/>
                <w:u w:val="none"/>
              </w:rPr>
            </w:pPr>
            <w:r w:rsidRPr="006033F3">
              <w:rPr>
                <w:rFonts w:ascii="Arial" w:hAnsi="Arial" w:cs="Arial"/>
              </w:rPr>
              <w:t xml:space="preserve">Investigations of employees or potential employees, with or without remuneration to work at or for schools under the direct management of the headteacher or governing body (Sch 2, 61) </w:t>
            </w:r>
          </w:p>
        </w:tc>
        <w:tc>
          <w:tcPr>
            <w:tcW w:w="5245" w:type="dxa"/>
            <w:vAlign w:val="center"/>
          </w:tcPr>
          <w:p w:rsidRPr="006033F3" w:rsidR="00C95B0A" w:rsidP="00C95B0A" w:rsidRDefault="00C95B0A">
            <w:pPr>
              <w:rPr>
                <w:rFonts w:ascii="Arial" w:hAnsi="Arial" w:cs="Arial"/>
              </w:rPr>
            </w:pPr>
            <w:r w:rsidRPr="006033F3">
              <w:rPr>
                <w:rFonts w:ascii="Arial" w:hAnsi="Arial" w:cs="Arial"/>
              </w:rPr>
              <w:t>Advice /Training/Policy Re: D</w:t>
            </w:r>
            <w:r w:rsidR="00F41B7D">
              <w:rPr>
                <w:rFonts w:ascii="Arial" w:hAnsi="Arial" w:cs="Arial"/>
              </w:rPr>
              <w:t xml:space="preserve">isclosure and Barring Service (DBS) </w:t>
            </w:r>
            <w:r w:rsidRPr="006033F3">
              <w:rPr>
                <w:rFonts w:ascii="Arial" w:hAnsi="Arial" w:cs="Arial"/>
              </w:rPr>
              <w:t>Trace Checks/C</w:t>
            </w:r>
            <w:r w:rsidR="0095408D">
              <w:rPr>
                <w:rFonts w:ascii="Arial" w:hAnsi="Arial" w:cs="Arial"/>
              </w:rPr>
              <w:t xml:space="preserve">ertificate of Good Conduct </w:t>
            </w:r>
            <w:r w:rsidRPr="006033F3">
              <w:rPr>
                <w:rFonts w:ascii="Arial" w:hAnsi="Arial" w:cs="Arial"/>
              </w:rPr>
              <w:t>Waivers</w:t>
            </w:r>
          </w:p>
          <w:p w:rsidRPr="006033F3" w:rsidR="00C95B0A" w:rsidP="00C95B0A" w:rsidRDefault="00C95B0A">
            <w:pPr>
              <w:rPr>
                <w:rFonts w:ascii="Arial" w:hAnsi="Arial" w:cs="Arial"/>
              </w:rPr>
            </w:pPr>
          </w:p>
          <w:p w:rsidRPr="006033F3" w:rsidR="00C95B0A" w:rsidP="00C95B0A" w:rsidRDefault="00C95B0A">
            <w:pPr>
              <w:rPr>
                <w:rFonts w:ascii="Arial" w:hAnsi="Arial" w:cs="Arial"/>
              </w:rPr>
            </w:pPr>
            <w:r w:rsidRPr="006033F3">
              <w:rPr>
                <w:rFonts w:ascii="Arial" w:hAnsi="Arial" w:cs="Arial"/>
              </w:rPr>
              <w:t>LA</w:t>
            </w:r>
            <w:r w:rsidR="00F41B7D">
              <w:rPr>
                <w:rFonts w:ascii="Arial" w:hAnsi="Arial" w:cs="Arial"/>
              </w:rPr>
              <w:t xml:space="preserve"> </w:t>
            </w:r>
            <w:r w:rsidRPr="006033F3">
              <w:rPr>
                <w:rFonts w:ascii="Arial" w:hAnsi="Arial" w:cs="Arial"/>
              </w:rPr>
              <w:t>D</w:t>
            </w:r>
            <w:r w:rsidR="00F41B7D">
              <w:rPr>
                <w:rFonts w:ascii="Arial" w:hAnsi="Arial" w:cs="Arial"/>
              </w:rPr>
              <w:t xml:space="preserve">esignated Officer </w:t>
            </w:r>
            <w:r w:rsidR="0095408D">
              <w:rPr>
                <w:rFonts w:ascii="Arial" w:hAnsi="Arial" w:cs="Arial"/>
              </w:rPr>
              <w:t xml:space="preserve">(LADO) </w:t>
            </w:r>
            <w:r w:rsidRPr="006033F3">
              <w:rPr>
                <w:rFonts w:ascii="Arial" w:hAnsi="Arial" w:cs="Arial"/>
              </w:rPr>
              <w:t>Meetings</w:t>
            </w:r>
          </w:p>
          <w:p w:rsidRPr="006033F3" w:rsidR="00C95B0A" w:rsidP="00C95B0A" w:rsidRDefault="00C95B0A">
            <w:pPr>
              <w:rPr>
                <w:rFonts w:ascii="Arial" w:hAnsi="Arial" w:cs="Arial"/>
              </w:rPr>
            </w:pPr>
          </w:p>
          <w:p w:rsidRPr="006033F3" w:rsidR="00D53C67" w:rsidP="00F41B7D" w:rsidRDefault="00FB157D">
            <w:pPr>
              <w:rPr>
                <w:rFonts w:ascii="Arial" w:hAnsi="Arial" w:cs="Arial"/>
              </w:rPr>
            </w:pPr>
            <w:r>
              <w:rPr>
                <w:rFonts w:ascii="Arial" w:hAnsi="Arial" w:cs="Arial"/>
              </w:rPr>
              <w:t>Referrals to DBS and N</w:t>
            </w:r>
            <w:r w:rsidR="00F41B7D">
              <w:rPr>
                <w:rFonts w:ascii="Arial" w:hAnsi="Arial" w:cs="Arial"/>
              </w:rPr>
              <w:t>ational College for Teaching and Learning</w:t>
            </w:r>
          </w:p>
        </w:tc>
        <w:tc>
          <w:tcPr>
            <w:tcW w:w="851" w:type="dxa"/>
            <w:vAlign w:val="center"/>
          </w:tcPr>
          <w:p w:rsidRPr="006033F3" w:rsidR="00D53C67" w:rsidP="007E0961" w:rsidRDefault="00C95B0A">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0.010</w:t>
            </w:r>
          </w:p>
        </w:tc>
        <w:tc>
          <w:tcPr>
            <w:tcW w:w="4677" w:type="dxa"/>
            <w:vAlign w:val="center"/>
          </w:tcPr>
          <w:p w:rsidRPr="006033F3" w:rsidR="00316A18" w:rsidP="00316A18" w:rsidRDefault="00316A18">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 xml:space="preserve">Schools would be required to undertake investigations themselves and meet the costs of any specialist HR advice directly. </w:t>
            </w:r>
          </w:p>
        </w:tc>
      </w:tr>
      <w:tr w:rsidRPr="006033F3" w:rsidR="00316A18" w:rsidTr="00316A18">
        <w:trPr>
          <w:jc w:val="center"/>
        </w:trPr>
        <w:tc>
          <w:tcPr>
            <w:tcW w:w="4531" w:type="dxa"/>
            <w:vAlign w:val="center"/>
          </w:tcPr>
          <w:p w:rsidRPr="006033F3" w:rsidR="00316A18" w:rsidP="00316A18" w:rsidRDefault="00316A18">
            <w:pPr>
              <w:rPr>
                <w:rStyle w:val="Hyperlink"/>
                <w:rFonts w:cs="Arial"/>
                <w:color w:val="auto"/>
                <w:sz w:val="22"/>
                <w:u w:val="none"/>
              </w:rPr>
            </w:pPr>
            <w:r w:rsidRPr="006033F3">
              <w:rPr>
                <w:rFonts w:ascii="Arial" w:hAnsi="Arial" w:cs="Arial"/>
              </w:rPr>
              <w:t>Functions related to local government pensions and administration of teachers’ pensions in relation to staff working at maintained schools under the direct management of the headteacher or governing body (Sch 2, 62)</w:t>
            </w:r>
          </w:p>
        </w:tc>
        <w:tc>
          <w:tcPr>
            <w:tcW w:w="5245" w:type="dxa"/>
            <w:vAlign w:val="center"/>
          </w:tcPr>
          <w:p w:rsidRPr="006033F3" w:rsidR="00316A18" w:rsidP="00316A18" w:rsidRDefault="00316A18">
            <w:pPr>
              <w:rPr>
                <w:rFonts w:ascii="Arial" w:hAnsi="Arial" w:cs="Arial"/>
              </w:rPr>
            </w:pPr>
            <w:r w:rsidRPr="006033F3">
              <w:rPr>
                <w:rFonts w:ascii="Arial" w:hAnsi="Arial" w:cs="Arial"/>
              </w:rPr>
              <w:t>Complete monthly return to Teachers</w:t>
            </w:r>
            <w:r w:rsidR="00F41B7D">
              <w:rPr>
                <w:rFonts w:ascii="Arial" w:hAnsi="Arial" w:cs="Arial"/>
              </w:rPr>
              <w:t>’</w:t>
            </w:r>
            <w:r w:rsidRPr="006033F3">
              <w:rPr>
                <w:rFonts w:ascii="Arial" w:hAnsi="Arial" w:cs="Arial"/>
              </w:rPr>
              <w:t xml:space="preserve"> Pensions. Complete annual return for Teachers</w:t>
            </w:r>
            <w:r w:rsidR="00F41B7D">
              <w:rPr>
                <w:rFonts w:ascii="Arial" w:hAnsi="Arial" w:cs="Arial"/>
              </w:rPr>
              <w:t>’</w:t>
            </w:r>
            <w:r w:rsidRPr="006033F3">
              <w:rPr>
                <w:rFonts w:ascii="Arial" w:hAnsi="Arial" w:cs="Arial"/>
              </w:rPr>
              <w:t xml:space="preserve"> Pensions and external audit. </w:t>
            </w:r>
          </w:p>
          <w:p w:rsidRPr="006033F3" w:rsidR="00316A18" w:rsidP="00316A18" w:rsidRDefault="00316A18">
            <w:pPr>
              <w:rPr>
                <w:rFonts w:ascii="Arial" w:hAnsi="Arial" w:cs="Arial"/>
              </w:rPr>
            </w:pPr>
          </w:p>
          <w:p w:rsidRPr="006033F3" w:rsidR="00316A18" w:rsidP="00316A18" w:rsidRDefault="00316A18">
            <w:pPr>
              <w:rPr>
                <w:rFonts w:ascii="Arial" w:hAnsi="Arial" w:cs="Arial"/>
              </w:rPr>
            </w:pPr>
            <w:r w:rsidRPr="006033F3">
              <w:rPr>
                <w:rFonts w:ascii="Arial" w:hAnsi="Arial" w:cs="Arial"/>
              </w:rPr>
              <w:t>Liaise with external audit annually who verify that the correct amounts have been paid</w:t>
            </w:r>
          </w:p>
          <w:p w:rsidRPr="006033F3" w:rsidR="00316A18" w:rsidP="00316A18" w:rsidRDefault="00316A18">
            <w:pPr>
              <w:rPr>
                <w:rFonts w:ascii="Arial" w:hAnsi="Arial" w:cs="Arial"/>
              </w:rPr>
            </w:pPr>
          </w:p>
          <w:p w:rsidRPr="006033F3" w:rsidR="00316A18" w:rsidP="00F41B7D" w:rsidRDefault="00316A18">
            <w:pPr>
              <w:rPr>
                <w:rFonts w:ascii="Arial" w:hAnsi="Arial" w:cs="Arial"/>
              </w:rPr>
            </w:pPr>
            <w:r w:rsidRPr="006033F3">
              <w:rPr>
                <w:rFonts w:ascii="Arial" w:hAnsi="Arial" w:cs="Arial"/>
              </w:rPr>
              <w:t>Updating payroll system with the implementation of changes to pension regulations as they affect pay. Deducting contributions from employees</w:t>
            </w:r>
            <w:r w:rsidR="00F41B7D">
              <w:rPr>
                <w:rFonts w:ascii="Arial" w:hAnsi="Arial" w:cs="Arial"/>
              </w:rPr>
              <w:t>’</w:t>
            </w:r>
            <w:r w:rsidRPr="006033F3">
              <w:rPr>
                <w:rFonts w:ascii="Arial" w:hAnsi="Arial" w:cs="Arial"/>
              </w:rPr>
              <w:t xml:space="preserve"> pay into collection accounts, plus the appropriate employer’s contribution. Reconciliation of deductions posted to collection account to payroll records to ensure they balance. Transfer local government pension contributions to the pension scheme.</w:t>
            </w:r>
          </w:p>
        </w:tc>
        <w:tc>
          <w:tcPr>
            <w:tcW w:w="851" w:type="dxa"/>
            <w:vAlign w:val="center"/>
          </w:tcPr>
          <w:p w:rsidRPr="006033F3" w:rsidR="00316A18" w:rsidP="00316A18" w:rsidRDefault="00316A18">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0.030</w:t>
            </w:r>
          </w:p>
        </w:tc>
        <w:tc>
          <w:tcPr>
            <w:tcW w:w="4677" w:type="dxa"/>
            <w:vAlign w:val="center"/>
          </w:tcPr>
          <w:p w:rsidRPr="006033F3" w:rsidR="00316A18" w:rsidP="00316A18" w:rsidRDefault="00316A18">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 xml:space="preserve">Schools would be required to undertake this work themselves and meet the costs of any specialist Finance or pensions advice directly. </w:t>
            </w:r>
          </w:p>
        </w:tc>
      </w:tr>
      <w:tr w:rsidRPr="006033F3" w:rsidR="00316A18" w:rsidTr="000F6D02">
        <w:trPr>
          <w:jc w:val="center"/>
        </w:trPr>
        <w:tc>
          <w:tcPr>
            <w:tcW w:w="4531" w:type="dxa"/>
            <w:vAlign w:val="center"/>
          </w:tcPr>
          <w:p w:rsidRPr="006033F3" w:rsidR="00316A18" w:rsidP="00316A18" w:rsidRDefault="00316A18">
            <w:pPr>
              <w:rPr>
                <w:rStyle w:val="Hyperlink"/>
                <w:rFonts w:cs="Arial"/>
                <w:color w:val="auto"/>
                <w:sz w:val="22"/>
                <w:u w:val="none"/>
              </w:rPr>
            </w:pPr>
            <w:r w:rsidRPr="006033F3">
              <w:rPr>
                <w:rFonts w:ascii="Arial" w:hAnsi="Arial" w:cs="Arial"/>
              </w:rPr>
              <w:t>Retrospective membership of pension schemes where it would be inappropriate to expect a school to meet the cost (Sch 2, 75)</w:t>
            </w:r>
          </w:p>
        </w:tc>
        <w:tc>
          <w:tcPr>
            <w:tcW w:w="5245" w:type="dxa"/>
            <w:vAlign w:val="center"/>
          </w:tcPr>
          <w:p w:rsidRPr="006033F3" w:rsidR="00316A18" w:rsidP="00316A18" w:rsidRDefault="00316A18">
            <w:pPr>
              <w:rPr>
                <w:rFonts w:ascii="Arial" w:hAnsi="Arial" w:cs="Arial"/>
              </w:rPr>
            </w:pPr>
            <w:r w:rsidRPr="006033F3">
              <w:rPr>
                <w:rFonts w:ascii="Arial" w:hAnsi="Arial" w:cs="Arial"/>
              </w:rPr>
              <w:t>Very rare, if cost significant school can claim for support from re-pooled contingency fund</w:t>
            </w:r>
          </w:p>
        </w:tc>
        <w:tc>
          <w:tcPr>
            <w:tcW w:w="851" w:type="dxa"/>
            <w:vAlign w:val="center"/>
          </w:tcPr>
          <w:p w:rsidRPr="006033F3" w:rsidR="00316A18" w:rsidP="00316A18" w:rsidRDefault="00316A18">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w:t>
            </w:r>
          </w:p>
        </w:tc>
        <w:tc>
          <w:tcPr>
            <w:tcW w:w="4677" w:type="dxa"/>
            <w:vAlign w:val="center"/>
          </w:tcPr>
          <w:p w:rsidRPr="006033F3" w:rsidR="00316A18" w:rsidP="00316A18" w:rsidRDefault="00FB157D">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492E34" w:rsidTr="00AB1A03">
        <w:trPr>
          <w:jc w:val="center"/>
        </w:trPr>
        <w:tc>
          <w:tcPr>
            <w:tcW w:w="4531" w:type="dxa"/>
            <w:vMerge w:val="restart"/>
            <w:vAlign w:val="center"/>
          </w:tcPr>
          <w:p w:rsidRPr="006033F3" w:rsidR="00492E34" w:rsidP="00492E34" w:rsidRDefault="00492E34">
            <w:pPr>
              <w:rPr>
                <w:rFonts w:ascii="Arial" w:hAnsi="Arial" w:cs="Arial"/>
              </w:rPr>
            </w:pPr>
            <w:r w:rsidRPr="006033F3">
              <w:rPr>
                <w:rFonts w:ascii="Arial" w:hAnsi="Arial" w:cs="Arial"/>
              </w:rPr>
              <w:lastRenderedPageBreak/>
              <w:t xml:space="preserve">HR duties, including: </w:t>
            </w:r>
          </w:p>
          <w:p w:rsidRPr="006033F3" w:rsidR="00492E34" w:rsidP="00492E34" w:rsidRDefault="00492E34">
            <w:pPr>
              <w:rPr>
                <w:rFonts w:ascii="Arial" w:hAnsi="Arial" w:cs="Arial"/>
              </w:rPr>
            </w:pPr>
          </w:p>
          <w:p w:rsidRPr="006033F3" w:rsidR="00492E34" w:rsidP="00492E34" w:rsidRDefault="00492E34">
            <w:pPr>
              <w:rPr>
                <w:rFonts w:ascii="Arial" w:hAnsi="Arial" w:cs="Arial"/>
              </w:rPr>
            </w:pPr>
            <w:r w:rsidRPr="006033F3">
              <w:rPr>
                <w:rFonts w:ascii="Arial" w:hAnsi="Arial" w:cs="Arial"/>
              </w:rPr>
              <w:t xml:space="preserve">advice to schools on the management of staff, pay alterations, conditions of service and composition/ organisation of staff (Sch 2, 63); determination of conditions of service for non-teaching staff (Sch 2, 64); </w:t>
            </w:r>
          </w:p>
          <w:p w:rsidRPr="006033F3" w:rsidR="00492E34" w:rsidP="00492E34" w:rsidRDefault="00492E34">
            <w:pPr>
              <w:rPr>
                <w:rFonts w:ascii="Arial" w:hAnsi="Arial" w:cs="Arial"/>
              </w:rPr>
            </w:pPr>
            <w:r w:rsidRPr="006033F3">
              <w:rPr>
                <w:rFonts w:ascii="Arial" w:hAnsi="Arial" w:cs="Arial"/>
              </w:rPr>
              <w:t>appointment or dismissal of employee functions (Sch 2, 65)</w:t>
            </w:r>
          </w:p>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492E34" w:rsidR="00492E34" w:rsidP="0041485E" w:rsidRDefault="00492E34">
            <w:pPr>
              <w:rPr>
                <w:rFonts w:ascii="Arial" w:hAnsi="Arial" w:cs="Arial"/>
              </w:rPr>
            </w:pPr>
            <w:r w:rsidRPr="006033F3">
              <w:rPr>
                <w:rFonts w:ascii="Arial" w:hAnsi="Arial" w:cs="Arial"/>
              </w:rPr>
              <w:t>Dismissal Hearings including appeals (Redundancy, Ill Health, Disciplinary and Capability) – Attendance at hearings, issuing of dismissal letters, administration of process.</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0.020</w:t>
            </w:r>
          </w:p>
        </w:tc>
        <w:tc>
          <w:tcPr>
            <w:tcW w:w="4677" w:type="dxa"/>
            <w:vMerge w:val="restart"/>
            <w:vAlign w:val="center"/>
          </w:tcPr>
          <w:p w:rsidR="00FB157D" w:rsidP="00F142A8" w:rsidRDefault="00FB157D">
            <w:pPr>
              <w:pStyle w:val="DfESOutNumbered1"/>
              <w:numPr>
                <w:ilvl w:val="0"/>
                <w:numId w:val="0"/>
              </w:numPr>
              <w:tabs>
                <w:tab w:val="left" w:pos="1134"/>
                <w:tab w:val="left" w:pos="2563"/>
              </w:tabs>
              <w:jc w:val="center"/>
              <w:rPr>
                <w:rStyle w:val="Hyperlink"/>
                <w:rFonts w:cs="Arial"/>
                <w:color w:val="auto"/>
                <w:sz w:val="22"/>
                <w:szCs w:val="22"/>
                <w:u w:val="none"/>
              </w:rPr>
            </w:pPr>
          </w:p>
          <w:p w:rsidR="00FB157D" w:rsidP="00F142A8" w:rsidRDefault="00FB157D">
            <w:pPr>
              <w:pStyle w:val="DfESOutNumbered1"/>
              <w:numPr>
                <w:ilvl w:val="0"/>
                <w:numId w:val="0"/>
              </w:numPr>
              <w:tabs>
                <w:tab w:val="left" w:pos="1134"/>
                <w:tab w:val="left" w:pos="2563"/>
              </w:tabs>
              <w:jc w:val="center"/>
              <w:rPr>
                <w:rStyle w:val="Hyperlink"/>
                <w:rFonts w:cs="Arial"/>
                <w:color w:val="auto"/>
                <w:sz w:val="22"/>
                <w:szCs w:val="22"/>
                <w:u w:val="none"/>
              </w:rPr>
            </w:pPr>
          </w:p>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Schools would be required to undertake this work themselves or buy them in, including the cost of any specialist HR support or advice.</w:t>
            </w: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492E34" w:rsidR="00492E34" w:rsidP="00F41B7D" w:rsidRDefault="00492E34">
            <w:pPr>
              <w:rPr>
                <w:rFonts w:ascii="Arial" w:hAnsi="Arial" w:cs="Arial"/>
              </w:rPr>
            </w:pPr>
            <w:r w:rsidRPr="006033F3">
              <w:rPr>
                <w:rFonts w:ascii="Arial" w:hAnsi="Arial" w:cs="Arial"/>
              </w:rPr>
              <w:t xml:space="preserve">Employment Tribunals – Where the </w:t>
            </w:r>
            <w:r w:rsidR="00F41B7D">
              <w:rPr>
                <w:rFonts w:ascii="Arial" w:hAnsi="Arial" w:cs="Arial"/>
              </w:rPr>
              <w:t>C</w:t>
            </w:r>
            <w:r w:rsidRPr="006033F3">
              <w:rPr>
                <w:rFonts w:ascii="Arial" w:hAnsi="Arial" w:cs="Arial"/>
              </w:rPr>
              <w:t>ouncil is named as a co-respondent, manage the response to ET applications.</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0.003</w:t>
            </w: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6033F3" w:rsidR="00492E34" w:rsidP="0041485E" w:rsidRDefault="00492E34">
            <w:pPr>
              <w:rPr>
                <w:rFonts w:ascii="Arial" w:hAnsi="Arial" w:cs="Arial"/>
              </w:rPr>
            </w:pPr>
            <w:r w:rsidRPr="006033F3">
              <w:rPr>
                <w:rFonts w:ascii="Arial" w:hAnsi="Arial" w:cs="Arial"/>
              </w:rPr>
              <w:t xml:space="preserve">Safeguarding Training </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0.001</w:t>
            </w: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492E34" w:rsidR="00492E34" w:rsidP="0041485E" w:rsidRDefault="00492E34">
            <w:pPr>
              <w:rPr>
                <w:rFonts w:ascii="Arial" w:hAnsi="Arial" w:cs="Arial"/>
              </w:rPr>
            </w:pPr>
            <w:r w:rsidRPr="006033F3">
              <w:rPr>
                <w:rFonts w:ascii="Arial" w:hAnsi="Arial" w:cs="Arial"/>
              </w:rPr>
              <w:t xml:space="preserve">Single Status and JE Queries - Monitoring and reviewing the application of the approved Job Evaluation scheme for Support Staff in Schools including the moderation of evaluated posts in schools.  </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0.010</w:t>
            </w: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492E34" w:rsidR="00492E34" w:rsidP="00EF0BA8" w:rsidRDefault="00492E34">
            <w:pPr>
              <w:rPr>
                <w:rFonts w:ascii="Arial" w:hAnsi="Arial" w:cs="Arial"/>
              </w:rPr>
            </w:pPr>
            <w:r w:rsidRPr="006033F3">
              <w:rPr>
                <w:rFonts w:ascii="Arial" w:hAnsi="Arial" w:cs="Arial"/>
              </w:rPr>
              <w:t>H</w:t>
            </w:r>
            <w:r w:rsidR="00EF0BA8">
              <w:rPr>
                <w:rFonts w:ascii="Arial" w:hAnsi="Arial" w:cs="Arial"/>
              </w:rPr>
              <w:t xml:space="preserve">eadteacher </w:t>
            </w:r>
            <w:r w:rsidRPr="006033F3">
              <w:rPr>
                <w:rFonts w:ascii="Arial" w:hAnsi="Arial" w:cs="Arial"/>
              </w:rPr>
              <w:t xml:space="preserve">Induction and Aspirant Heads </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492E34" w:rsidR="00492E34" w:rsidP="00F41B7D" w:rsidRDefault="00492E34">
            <w:pPr>
              <w:rPr>
                <w:rFonts w:ascii="Arial" w:hAnsi="Arial" w:cs="Arial"/>
              </w:rPr>
            </w:pPr>
            <w:r w:rsidRPr="006033F3">
              <w:rPr>
                <w:rFonts w:ascii="Arial" w:hAnsi="Arial" w:cs="Arial"/>
              </w:rPr>
              <w:t>S</w:t>
            </w:r>
            <w:r w:rsidR="00F41B7D">
              <w:rPr>
                <w:rFonts w:ascii="Arial" w:hAnsi="Arial" w:cs="Arial"/>
              </w:rPr>
              <w:t xml:space="preserve">chool Progress Review </w:t>
            </w:r>
            <w:r w:rsidRPr="006033F3">
              <w:rPr>
                <w:rFonts w:ascii="Arial" w:hAnsi="Arial" w:cs="Arial"/>
              </w:rPr>
              <w:t>Meetings</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0.003</w:t>
            </w: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492E34" w:rsidR="00492E34" w:rsidP="00F41B7D" w:rsidRDefault="00492E34">
            <w:pPr>
              <w:rPr>
                <w:rFonts w:ascii="Arial" w:hAnsi="Arial" w:cs="Arial"/>
              </w:rPr>
            </w:pPr>
            <w:r w:rsidRPr="006033F3">
              <w:rPr>
                <w:rFonts w:ascii="Arial" w:hAnsi="Arial" w:cs="Arial"/>
              </w:rPr>
              <w:t>Parental Complaints, FoI/S</w:t>
            </w:r>
            <w:r w:rsidR="00F41B7D">
              <w:rPr>
                <w:rFonts w:ascii="Arial" w:hAnsi="Arial" w:cs="Arial"/>
              </w:rPr>
              <w:t>ubject Access Requests</w:t>
            </w:r>
            <w:r w:rsidRPr="006033F3">
              <w:rPr>
                <w:rFonts w:ascii="Arial" w:hAnsi="Arial" w:cs="Arial"/>
              </w:rPr>
              <w:t>, Cabinet Reports and other conditions of service work (e.g. removal of SSSEN allowance)</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0.008</w:t>
            </w: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rPr>
            </w:pPr>
          </w:p>
        </w:tc>
        <w:tc>
          <w:tcPr>
            <w:tcW w:w="5245" w:type="dxa"/>
            <w:vAlign w:val="center"/>
          </w:tcPr>
          <w:p w:rsidRPr="006033F3" w:rsidR="00492E34" w:rsidP="0041485E" w:rsidRDefault="00492E34">
            <w:pPr>
              <w:rPr>
                <w:rFonts w:cs="Arial"/>
              </w:rPr>
            </w:pPr>
            <w:r w:rsidRPr="006033F3">
              <w:rPr>
                <w:rFonts w:ascii="Arial" w:hAnsi="Arial" w:cs="Arial"/>
              </w:rPr>
              <w:t>Providing advice and guidance to schools in relation to disputes and strike action.</w:t>
            </w:r>
          </w:p>
        </w:tc>
        <w:tc>
          <w:tcPr>
            <w:tcW w:w="851" w:type="dxa"/>
            <w:vAlign w:val="center"/>
          </w:tcPr>
          <w:p w:rsidRPr="006033F3" w:rsidR="00492E34" w:rsidP="0041485E"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0.001</w:t>
            </w:r>
          </w:p>
        </w:tc>
        <w:tc>
          <w:tcPr>
            <w:tcW w:w="4677" w:type="dxa"/>
            <w:vMerge/>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tc>
      </w:tr>
      <w:tr w:rsidRPr="006033F3" w:rsidR="00492E34" w:rsidTr="00AB1A03">
        <w:trPr>
          <w:jc w:val="center"/>
        </w:trPr>
        <w:tc>
          <w:tcPr>
            <w:tcW w:w="4531" w:type="dxa"/>
            <w:vMerge w:val="restart"/>
            <w:vAlign w:val="center"/>
          </w:tcPr>
          <w:p w:rsidRPr="006033F3" w:rsidR="00492E34" w:rsidP="00316A18" w:rsidRDefault="00492E34">
            <w:pPr>
              <w:pStyle w:val="DfESOutNumbered1"/>
              <w:numPr>
                <w:ilvl w:val="0"/>
                <w:numId w:val="0"/>
              </w:numPr>
              <w:tabs>
                <w:tab w:val="left" w:pos="1134"/>
                <w:tab w:val="left" w:pos="2563"/>
              </w:tabs>
              <w:rPr>
                <w:rFonts w:ascii="Arial" w:hAnsi="Arial" w:cs="Arial"/>
                <w:szCs w:val="22"/>
              </w:rPr>
            </w:pPr>
            <w:r w:rsidRPr="006033F3">
              <w:rPr>
                <w:rFonts w:ascii="Arial" w:hAnsi="Arial" w:cs="Arial"/>
              </w:rPr>
              <w:t>Consultation costs relating to staffing (Sch 2, 66)</w:t>
            </w:r>
          </w:p>
        </w:tc>
        <w:tc>
          <w:tcPr>
            <w:tcW w:w="5245" w:type="dxa"/>
            <w:vAlign w:val="center"/>
          </w:tcPr>
          <w:p w:rsidRPr="006033F3" w:rsidR="00492E34" w:rsidP="0041485E" w:rsidRDefault="00492E34">
            <w:pPr>
              <w:rPr>
                <w:rFonts w:ascii="Arial" w:hAnsi="Arial" w:cs="Arial"/>
              </w:rPr>
            </w:pPr>
            <w:r w:rsidRPr="006033F3">
              <w:rPr>
                <w:rFonts w:ascii="Arial" w:hAnsi="Arial" w:cs="Arial"/>
              </w:rPr>
              <w:t xml:space="preserve">Work for SJCC including Formal meetings, working parties, preparation time and completion of actions. </w:t>
            </w:r>
          </w:p>
          <w:p w:rsidRPr="006033F3" w:rsidR="00492E34" w:rsidP="0041485E" w:rsidRDefault="00492E34">
            <w:pPr>
              <w:rPr>
                <w:rFonts w:ascii="Arial" w:hAnsi="Arial" w:cs="Arial"/>
              </w:rPr>
            </w:pPr>
          </w:p>
          <w:p w:rsidRPr="006033F3" w:rsidR="00492E34" w:rsidP="0041485E" w:rsidRDefault="00492E34">
            <w:pPr>
              <w:rPr>
                <w:rFonts w:ascii="Arial" w:hAnsi="Arial" w:cs="Arial"/>
              </w:rPr>
            </w:pPr>
            <w:r w:rsidRPr="006033F3">
              <w:rPr>
                <w:rFonts w:ascii="Arial" w:hAnsi="Arial" w:cs="Arial"/>
              </w:rPr>
              <w:t>Review, update and reissue policies and procedures for schools that are recommended to Governing Boards for adoption.</w:t>
            </w:r>
          </w:p>
          <w:p w:rsidRPr="006033F3" w:rsidR="00492E34" w:rsidP="0041485E" w:rsidRDefault="00492E34">
            <w:pPr>
              <w:rPr>
                <w:rFonts w:ascii="Arial" w:hAnsi="Arial" w:cs="Arial"/>
              </w:rPr>
            </w:pPr>
          </w:p>
          <w:p w:rsidRPr="006033F3" w:rsidR="00492E34" w:rsidP="0041485E" w:rsidRDefault="00492E34">
            <w:pPr>
              <w:rPr>
                <w:rFonts w:ascii="Arial" w:hAnsi="Arial" w:cs="Arial"/>
              </w:rPr>
            </w:pPr>
            <w:r w:rsidRPr="006033F3">
              <w:rPr>
                <w:rFonts w:ascii="Arial" w:hAnsi="Arial" w:cs="Arial"/>
              </w:rPr>
              <w:t>Facilities Time – Coordinating and advising on facilities and time off for representatives of the recognised Teachers Associations/Trade Unions</w:t>
            </w:r>
          </w:p>
          <w:p w:rsidRPr="006033F3" w:rsidR="00492E34" w:rsidP="0041485E" w:rsidRDefault="00492E34">
            <w:pPr>
              <w:rPr>
                <w:rFonts w:ascii="Arial" w:hAnsi="Arial" w:cs="Arial"/>
              </w:rPr>
            </w:pPr>
          </w:p>
          <w:p w:rsidRPr="006033F3" w:rsidR="00492E34" w:rsidP="0041485E" w:rsidRDefault="00492E34">
            <w:pPr>
              <w:rPr>
                <w:rFonts w:ascii="Arial" w:hAnsi="Arial" w:cs="Arial"/>
              </w:rPr>
            </w:pPr>
            <w:r w:rsidRPr="006033F3">
              <w:rPr>
                <w:rFonts w:ascii="Arial" w:hAnsi="Arial" w:cs="Arial"/>
              </w:rPr>
              <w:t>Responding to consultation documents from the DfE,</w:t>
            </w:r>
            <w:r w:rsidR="00876136">
              <w:rPr>
                <w:rFonts w:ascii="Arial" w:hAnsi="Arial" w:cs="Arial"/>
              </w:rPr>
              <w:t xml:space="preserve"> LGA etc. on employment matters</w:t>
            </w:r>
          </w:p>
          <w:p w:rsidRPr="006033F3" w:rsidR="00492E34" w:rsidP="00316A18" w:rsidRDefault="00492E34">
            <w:pPr>
              <w:rPr>
                <w:rFonts w:ascii="Arial" w:hAnsi="Arial" w:cs="Arial"/>
              </w:rPr>
            </w:pPr>
            <w:r w:rsidRPr="006033F3">
              <w:rPr>
                <w:rFonts w:ascii="Arial" w:hAnsi="Arial" w:cs="Arial"/>
              </w:rPr>
              <w:t>Undertaking consultations and negotiations with staff representatives on Council wide issues e.g. Single Status, Living Wage, Holiday pay etc. that may impact on maintained schools</w:t>
            </w:r>
          </w:p>
        </w:tc>
        <w:tc>
          <w:tcPr>
            <w:tcW w:w="851" w:type="dxa"/>
            <w:vAlign w:val="center"/>
          </w:tcPr>
          <w:p w:rsidRPr="006033F3" w:rsidR="00492E34" w:rsidP="00492E34"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0.02</w:t>
            </w:r>
            <w:r>
              <w:rPr>
                <w:rStyle w:val="Hyperlink"/>
                <w:rFonts w:cs="Arial"/>
                <w:b/>
                <w:color w:val="auto"/>
                <w:sz w:val="22"/>
                <w:szCs w:val="22"/>
                <w:u w:val="none"/>
              </w:rPr>
              <w:t>0</w:t>
            </w:r>
          </w:p>
        </w:tc>
        <w:tc>
          <w:tcPr>
            <w:tcW w:w="4677" w:type="dxa"/>
            <w:vAlign w:val="center"/>
          </w:tcPr>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 xml:space="preserve">Costs would either have to be recouped via a traded service, but this would fragment the current arrangements. </w:t>
            </w:r>
          </w:p>
          <w:p w:rsidR="00FB157D" w:rsidP="00F142A8" w:rsidRDefault="00FB157D">
            <w:pPr>
              <w:pStyle w:val="DfESOutNumbered1"/>
              <w:numPr>
                <w:ilvl w:val="0"/>
                <w:numId w:val="0"/>
              </w:numPr>
              <w:tabs>
                <w:tab w:val="left" w:pos="1134"/>
                <w:tab w:val="left" w:pos="2563"/>
              </w:tabs>
              <w:jc w:val="center"/>
              <w:rPr>
                <w:rStyle w:val="Hyperlink"/>
                <w:rFonts w:cs="Arial"/>
                <w:color w:val="auto"/>
                <w:sz w:val="22"/>
                <w:szCs w:val="22"/>
                <w:u w:val="none"/>
              </w:rPr>
            </w:pPr>
          </w:p>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Work associated with facilities time could be recovered by an increase in the de-delegation rate</w:t>
            </w:r>
          </w:p>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p>
          <w:p w:rsidRPr="006033F3" w:rsidR="00492E34" w:rsidP="00F142A8" w:rsidRDefault="00492E34">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Alternatively less work would be done in these areas which could increase the risk of employment relations becoming more difficult</w:t>
            </w:r>
          </w:p>
        </w:tc>
      </w:tr>
      <w:tr w:rsidRPr="006033F3" w:rsidR="00492E34" w:rsidTr="00AB1A03">
        <w:trPr>
          <w:jc w:val="center"/>
        </w:trPr>
        <w:tc>
          <w:tcPr>
            <w:tcW w:w="4531" w:type="dxa"/>
            <w:vMerge/>
            <w:vAlign w:val="center"/>
          </w:tcPr>
          <w:p w:rsidRPr="006033F3" w:rsidR="00492E34" w:rsidP="00316A18" w:rsidRDefault="00492E34">
            <w:pPr>
              <w:pStyle w:val="DfESOutNumbered1"/>
              <w:numPr>
                <w:ilvl w:val="0"/>
                <w:numId w:val="0"/>
              </w:numPr>
              <w:tabs>
                <w:tab w:val="left" w:pos="1134"/>
                <w:tab w:val="left" w:pos="2563"/>
              </w:tabs>
              <w:rPr>
                <w:rFonts w:cs="Arial"/>
                <w:szCs w:val="22"/>
              </w:rPr>
            </w:pPr>
          </w:p>
        </w:tc>
        <w:tc>
          <w:tcPr>
            <w:tcW w:w="5245" w:type="dxa"/>
            <w:vAlign w:val="center"/>
          </w:tcPr>
          <w:p w:rsidRPr="006033F3" w:rsidR="00492E34" w:rsidP="00316A18" w:rsidRDefault="00492E34">
            <w:pPr>
              <w:rPr>
                <w:rFonts w:cs="Arial"/>
              </w:rPr>
            </w:pPr>
            <w:r w:rsidRPr="006033F3">
              <w:rPr>
                <w:rFonts w:ascii="Arial" w:hAnsi="Arial" w:cs="Arial"/>
              </w:rPr>
              <w:t>TUPE processes where transferring staff are employees of the Authority.</w:t>
            </w:r>
          </w:p>
        </w:tc>
        <w:tc>
          <w:tcPr>
            <w:tcW w:w="851" w:type="dxa"/>
            <w:vAlign w:val="center"/>
          </w:tcPr>
          <w:p w:rsidRPr="006033F3" w:rsidR="00492E34" w:rsidP="00316A18" w:rsidRDefault="00492E34">
            <w:pPr>
              <w:pStyle w:val="DfESOutNumbered1"/>
              <w:numPr>
                <w:ilvl w:val="0"/>
                <w:numId w:val="0"/>
              </w:numPr>
              <w:tabs>
                <w:tab w:val="left" w:pos="1134"/>
                <w:tab w:val="left" w:pos="2563"/>
              </w:tabs>
              <w:jc w:val="center"/>
              <w:rPr>
                <w:rStyle w:val="Hyperlink"/>
                <w:rFonts w:cs="Arial"/>
                <w:b/>
                <w:color w:val="auto"/>
                <w:sz w:val="22"/>
                <w:szCs w:val="22"/>
                <w:u w:val="none"/>
              </w:rPr>
            </w:pPr>
            <w:r>
              <w:rPr>
                <w:rStyle w:val="Hyperlink"/>
                <w:rFonts w:cs="Arial"/>
                <w:b/>
                <w:color w:val="auto"/>
                <w:sz w:val="22"/>
                <w:szCs w:val="22"/>
                <w:u w:val="none"/>
              </w:rPr>
              <w:t>0.005</w:t>
            </w:r>
          </w:p>
        </w:tc>
        <w:tc>
          <w:tcPr>
            <w:tcW w:w="4677" w:type="dxa"/>
            <w:vAlign w:val="center"/>
          </w:tcPr>
          <w:p w:rsidRPr="006033F3" w:rsidR="00492E34" w:rsidP="00FB157D" w:rsidRDefault="00492E34">
            <w:pPr>
              <w:pStyle w:val="DfESOutNumbered1"/>
              <w:numPr>
                <w:ilvl w:val="0"/>
                <w:numId w:val="0"/>
              </w:numPr>
              <w:tabs>
                <w:tab w:val="left" w:pos="1134"/>
                <w:tab w:val="left" w:pos="2563"/>
              </w:tabs>
              <w:jc w:val="center"/>
              <w:rPr>
                <w:rStyle w:val="Hyperlink"/>
                <w:rFonts w:cs="Arial"/>
                <w:color w:val="auto"/>
                <w:sz w:val="22"/>
                <w:szCs w:val="22"/>
                <w:u w:val="none"/>
              </w:rPr>
            </w:pPr>
            <w:r>
              <w:rPr>
                <w:rStyle w:val="Hyperlink"/>
                <w:rFonts w:cs="Arial"/>
                <w:color w:val="auto"/>
                <w:sz w:val="22"/>
                <w:szCs w:val="22"/>
                <w:u w:val="none"/>
              </w:rPr>
              <w:t>Costs would be charge</w:t>
            </w:r>
            <w:r w:rsidR="00FB157D">
              <w:rPr>
                <w:rStyle w:val="Hyperlink"/>
                <w:rFonts w:cs="Arial"/>
                <w:color w:val="auto"/>
                <w:sz w:val="22"/>
                <w:szCs w:val="22"/>
                <w:u w:val="none"/>
              </w:rPr>
              <w:t>d</w:t>
            </w:r>
            <w:r>
              <w:rPr>
                <w:rStyle w:val="Hyperlink"/>
                <w:rFonts w:cs="Arial"/>
                <w:color w:val="auto"/>
                <w:sz w:val="22"/>
                <w:szCs w:val="22"/>
                <w:u w:val="none"/>
              </w:rPr>
              <w:t xml:space="preserve"> to individual schools</w:t>
            </w:r>
          </w:p>
        </w:tc>
      </w:tr>
      <w:tr w:rsidRPr="006033F3" w:rsidR="00316A18" w:rsidTr="00AB1A03">
        <w:trPr>
          <w:jc w:val="center"/>
        </w:trPr>
        <w:tc>
          <w:tcPr>
            <w:tcW w:w="4531" w:type="dxa"/>
            <w:vAlign w:val="center"/>
          </w:tcPr>
          <w:p w:rsidRPr="006033F3" w:rsidR="00316A18" w:rsidP="00316A18" w:rsidRDefault="00316A18">
            <w:pPr>
              <w:pStyle w:val="DfESOutNumbered1"/>
              <w:numPr>
                <w:ilvl w:val="0"/>
                <w:numId w:val="0"/>
              </w:numPr>
              <w:tabs>
                <w:tab w:val="left" w:pos="1134"/>
                <w:tab w:val="left" w:pos="2563"/>
              </w:tabs>
              <w:rPr>
                <w:rFonts w:ascii="Arial" w:hAnsi="Arial" w:cs="Arial"/>
                <w:szCs w:val="22"/>
              </w:rPr>
            </w:pPr>
            <w:r w:rsidRPr="006033F3">
              <w:rPr>
                <w:rFonts w:ascii="Arial" w:hAnsi="Arial" w:cs="Arial"/>
                <w:szCs w:val="22"/>
              </w:rPr>
              <w:t xml:space="preserve">Compliance with duties under Health and Safety at Work Act </w:t>
            </w:r>
          </w:p>
          <w:p w:rsidRPr="006033F3" w:rsidR="00316A18" w:rsidP="00316A18" w:rsidRDefault="00316A18">
            <w:pPr>
              <w:pStyle w:val="DfESOutNumbered1"/>
              <w:numPr>
                <w:ilvl w:val="0"/>
                <w:numId w:val="0"/>
              </w:numPr>
              <w:tabs>
                <w:tab w:val="left" w:pos="1134"/>
                <w:tab w:val="left" w:pos="2563"/>
              </w:tabs>
              <w:rPr>
                <w:rStyle w:val="Hyperlink"/>
                <w:rFonts w:cs="Arial"/>
                <w:sz w:val="22"/>
                <w:szCs w:val="22"/>
              </w:rPr>
            </w:pPr>
            <w:r w:rsidRPr="006033F3">
              <w:rPr>
                <w:rFonts w:ascii="Arial" w:hAnsi="Arial" w:cs="Arial"/>
                <w:szCs w:val="22"/>
              </w:rPr>
              <w:t>(Sch 2, 67)</w:t>
            </w:r>
          </w:p>
        </w:tc>
        <w:tc>
          <w:tcPr>
            <w:tcW w:w="5245" w:type="dxa"/>
            <w:vAlign w:val="center"/>
          </w:tcPr>
          <w:p w:rsidRPr="006033F3" w:rsidR="00316A18" w:rsidP="00316A18" w:rsidRDefault="00316A18">
            <w:pPr>
              <w:rPr>
                <w:rFonts w:ascii="Arial" w:hAnsi="Arial" w:cs="Arial"/>
              </w:rPr>
            </w:pPr>
            <w:r w:rsidRPr="006033F3">
              <w:rPr>
                <w:rFonts w:ascii="Arial" w:hAnsi="Arial" w:cs="Arial"/>
              </w:rPr>
              <w:t>Children’s Services - Provision of safe systems of work and safe equipment. Provision of a safe place of work with safe access and egress. Provision of information, instruction, supervision and training as required. Ensure that schools provide a safe working environment. Consultation with employees on HR related matters. Ensure schools have a written Health and Safety Policy. Ensure safe use, handling, storage, and transport of articles and substances.  Assess and manage significant risks</w:t>
            </w:r>
          </w:p>
        </w:tc>
        <w:tc>
          <w:tcPr>
            <w:tcW w:w="851" w:type="dxa"/>
            <w:vAlign w:val="center"/>
          </w:tcPr>
          <w:p w:rsidRPr="006033F3" w:rsidR="00316A18" w:rsidP="00316A18" w:rsidRDefault="00316A18">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0.224</w:t>
            </w:r>
          </w:p>
        </w:tc>
        <w:tc>
          <w:tcPr>
            <w:tcW w:w="4677" w:type="dxa"/>
            <w:vAlign w:val="center"/>
          </w:tcPr>
          <w:p w:rsidRPr="006033F3" w:rsidR="00316A18" w:rsidP="00316A18" w:rsidRDefault="00316A18">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Schools would be required to undertake this work themselves or buy them in, including the cost of any specialist HR support or advice.</w:t>
            </w:r>
          </w:p>
        </w:tc>
      </w:tr>
      <w:tr w:rsidRPr="006033F3" w:rsidR="000F6D02" w:rsidTr="00AB1A03">
        <w:trPr>
          <w:jc w:val="center"/>
        </w:trPr>
        <w:tc>
          <w:tcPr>
            <w:tcW w:w="4531" w:type="dxa"/>
            <w:vAlign w:val="center"/>
          </w:tcPr>
          <w:p w:rsidRPr="006033F3" w:rsidR="000F6D02" w:rsidP="000F6D02" w:rsidRDefault="000F6D02">
            <w:pPr>
              <w:rPr>
                <w:rStyle w:val="Hyperlink"/>
                <w:rFonts w:cs="Arial"/>
                <w:color w:val="auto"/>
                <w:sz w:val="22"/>
                <w:u w:val="none"/>
              </w:rPr>
            </w:pPr>
            <w:r w:rsidRPr="006033F3">
              <w:rPr>
                <w:rFonts w:ascii="Arial" w:hAnsi="Arial" w:cs="Arial"/>
              </w:rPr>
              <w:t>Provision of information to or at the request of the Crown relating to schools (Sch 2, 68)</w:t>
            </w:r>
          </w:p>
        </w:tc>
        <w:tc>
          <w:tcPr>
            <w:tcW w:w="5245" w:type="dxa"/>
            <w:vAlign w:val="center"/>
          </w:tcPr>
          <w:p w:rsidRPr="006033F3" w:rsidR="000F6D02" w:rsidP="000F6D02" w:rsidRDefault="000F6D02">
            <w:pPr>
              <w:rPr>
                <w:rFonts w:ascii="Arial" w:hAnsi="Arial" w:cs="Arial"/>
              </w:rPr>
            </w:pPr>
            <w:r w:rsidRPr="006033F3">
              <w:rPr>
                <w:rFonts w:ascii="Arial" w:hAnsi="Arial" w:cs="Arial"/>
              </w:rPr>
              <w:t xml:space="preserve">Assimilation and submission of school census x3 and School Workforce Census. </w:t>
            </w:r>
          </w:p>
        </w:tc>
        <w:tc>
          <w:tcPr>
            <w:tcW w:w="851" w:type="dxa"/>
            <w:vAlign w:val="center"/>
          </w:tcPr>
          <w:p w:rsidRPr="006033F3" w:rsidR="000F6D02" w:rsidP="00705BA4" w:rsidRDefault="000F6D02">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w:t>
            </w:r>
            <w:r w:rsidR="00705BA4">
              <w:rPr>
                <w:rStyle w:val="Hyperlink"/>
                <w:rFonts w:cs="Arial"/>
                <w:b/>
                <w:color w:val="auto"/>
                <w:sz w:val="22"/>
                <w:szCs w:val="22"/>
                <w:u w:val="none"/>
              </w:rPr>
              <w:t>5</w:t>
            </w:r>
            <w:r w:rsidRPr="006033F3">
              <w:rPr>
                <w:rStyle w:val="Hyperlink"/>
                <w:rFonts w:cs="Arial"/>
                <w:b/>
                <w:color w:val="auto"/>
                <w:sz w:val="22"/>
                <w:szCs w:val="22"/>
                <w:u w:val="none"/>
              </w:rPr>
              <w:t>4</w:t>
            </w:r>
          </w:p>
        </w:tc>
        <w:tc>
          <w:tcPr>
            <w:tcW w:w="4677" w:type="dxa"/>
            <w:vAlign w:val="center"/>
          </w:tcPr>
          <w:p w:rsidRPr="006033F3" w:rsidR="000F6D02" w:rsidP="000F6D02" w:rsidRDefault="000F6D02">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Schools would be required to undertake this work themselves or buy them in, including the cost of any specialist ICT support or advice.</w:t>
            </w:r>
          </w:p>
        </w:tc>
      </w:tr>
      <w:tr w:rsidRPr="006033F3" w:rsidR="0041485E" w:rsidTr="00AB1A03">
        <w:trPr>
          <w:jc w:val="center"/>
        </w:trPr>
        <w:tc>
          <w:tcPr>
            <w:tcW w:w="4531" w:type="dxa"/>
            <w:vAlign w:val="center"/>
          </w:tcPr>
          <w:p w:rsidRPr="006033F3" w:rsidR="0041485E" w:rsidP="0041485E" w:rsidRDefault="0041485E">
            <w:pPr>
              <w:rPr>
                <w:rStyle w:val="Hyperlink"/>
                <w:rFonts w:cs="Arial"/>
                <w:color w:val="auto"/>
                <w:sz w:val="22"/>
                <w:u w:val="none"/>
              </w:rPr>
            </w:pPr>
            <w:r w:rsidRPr="006033F3">
              <w:rPr>
                <w:rFonts w:ascii="Arial" w:hAnsi="Arial" w:cs="Arial"/>
              </w:rPr>
              <w:t>School companies (Sch 2, 69)</w:t>
            </w:r>
          </w:p>
        </w:tc>
        <w:tc>
          <w:tcPr>
            <w:tcW w:w="5245" w:type="dxa"/>
            <w:vAlign w:val="center"/>
          </w:tcPr>
          <w:p w:rsidRPr="006033F3" w:rsidR="0041485E" w:rsidP="0041485E" w:rsidRDefault="0041485E">
            <w:pPr>
              <w:rPr>
                <w:rFonts w:ascii="Arial" w:hAnsi="Arial" w:cs="Arial"/>
              </w:rPr>
            </w:pPr>
            <w:r w:rsidRPr="006033F3">
              <w:rPr>
                <w:rFonts w:ascii="Arial" w:hAnsi="Arial" w:cs="Arial"/>
              </w:rPr>
              <w:t>Minimal spend</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w:t>
            </w:r>
          </w:p>
        </w:tc>
        <w:tc>
          <w:tcPr>
            <w:tcW w:w="4677" w:type="dxa"/>
            <w:vAlign w:val="center"/>
          </w:tcPr>
          <w:p w:rsidRPr="006033F3" w:rsidR="0041485E" w:rsidP="0041485E" w:rsidRDefault="00FB157D">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41485E" w:rsidTr="00AB1A03">
        <w:trPr>
          <w:jc w:val="center"/>
        </w:trPr>
        <w:tc>
          <w:tcPr>
            <w:tcW w:w="4531" w:type="dxa"/>
            <w:vAlign w:val="center"/>
          </w:tcPr>
          <w:p w:rsidRPr="006033F3" w:rsidR="0041485E" w:rsidP="0041485E" w:rsidRDefault="0041485E">
            <w:pPr>
              <w:rPr>
                <w:rStyle w:val="Hyperlink"/>
                <w:rFonts w:cs="Arial"/>
                <w:color w:val="auto"/>
                <w:sz w:val="22"/>
                <w:u w:val="none"/>
              </w:rPr>
            </w:pPr>
            <w:r w:rsidRPr="006033F3">
              <w:rPr>
                <w:rFonts w:ascii="Arial" w:hAnsi="Arial" w:cs="Arial"/>
              </w:rPr>
              <w:t>Functions under the Equality Act 2010 (Sch 2, 70)</w:t>
            </w:r>
          </w:p>
        </w:tc>
        <w:tc>
          <w:tcPr>
            <w:tcW w:w="5245" w:type="dxa"/>
            <w:vAlign w:val="center"/>
          </w:tcPr>
          <w:p w:rsidRPr="006033F3" w:rsidR="0041485E" w:rsidP="0041485E" w:rsidRDefault="0041485E">
            <w:pPr>
              <w:rPr>
                <w:rFonts w:ascii="Arial" w:hAnsi="Arial" w:cs="Arial"/>
              </w:rPr>
            </w:pPr>
            <w:r w:rsidRPr="006033F3">
              <w:rPr>
                <w:rFonts w:ascii="Arial" w:hAnsi="Arial" w:cs="Arial"/>
              </w:rPr>
              <w:t>Advice and guidance and reasonable adjustments relating to policy and procedure e.g. recruitment, absence, redundancy; maternity cases, grievance.</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0.008</w:t>
            </w:r>
          </w:p>
        </w:tc>
        <w:tc>
          <w:tcPr>
            <w:tcW w:w="4677"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Schools would be required to undertake this work themselves or buy them in, including the cost of any specialist HR support or advice.</w:t>
            </w:r>
          </w:p>
        </w:tc>
      </w:tr>
      <w:tr w:rsidRPr="006033F3" w:rsidR="0041485E" w:rsidTr="008C4E01">
        <w:trPr>
          <w:jc w:val="center"/>
        </w:trPr>
        <w:tc>
          <w:tcPr>
            <w:tcW w:w="4531" w:type="dxa"/>
            <w:vAlign w:val="center"/>
          </w:tcPr>
          <w:p w:rsidRPr="006033F3" w:rsidR="0041485E" w:rsidP="0041485E" w:rsidRDefault="0041485E">
            <w:pPr>
              <w:rPr>
                <w:rFonts w:ascii="Arial" w:hAnsi="Arial" w:cs="Arial"/>
              </w:rPr>
            </w:pPr>
            <w:r w:rsidRPr="006033F3">
              <w:rPr>
                <w:rFonts w:ascii="Arial" w:hAnsi="Arial" w:cs="Arial"/>
              </w:rPr>
              <w:t xml:space="preserve">Establish and maintaining computer systems, including data storage </w:t>
            </w:r>
          </w:p>
          <w:p w:rsidRPr="006033F3" w:rsidR="0041485E" w:rsidP="0041485E" w:rsidRDefault="0041485E">
            <w:pPr>
              <w:rPr>
                <w:rStyle w:val="Hyperlink"/>
                <w:rFonts w:cs="Arial"/>
                <w:color w:val="auto"/>
                <w:sz w:val="22"/>
                <w:u w:val="none"/>
              </w:rPr>
            </w:pPr>
            <w:r w:rsidRPr="006033F3">
              <w:rPr>
                <w:rFonts w:ascii="Arial" w:hAnsi="Arial" w:cs="Arial"/>
              </w:rPr>
              <w:t>(Sch 2, 71)</w:t>
            </w:r>
          </w:p>
        </w:tc>
        <w:tc>
          <w:tcPr>
            <w:tcW w:w="5245" w:type="dxa"/>
            <w:vAlign w:val="center"/>
          </w:tcPr>
          <w:p w:rsidRPr="006033F3" w:rsidR="0041485E" w:rsidP="0041485E" w:rsidRDefault="0041485E">
            <w:pPr>
              <w:rPr>
                <w:rFonts w:ascii="Arial" w:hAnsi="Arial" w:cs="Arial"/>
              </w:rPr>
            </w:pPr>
            <w:r w:rsidRPr="006033F3">
              <w:rPr>
                <w:rFonts w:ascii="Arial" w:hAnsi="Arial" w:cs="Arial"/>
              </w:rPr>
              <w:t>Maintenance of secure portal for information sharing/data transfer.</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0.010</w:t>
            </w:r>
          </w:p>
        </w:tc>
        <w:tc>
          <w:tcPr>
            <w:tcW w:w="4677" w:type="dxa"/>
          </w:tcPr>
          <w:p w:rsidRPr="006033F3" w:rsidR="0041485E" w:rsidP="0041485E" w:rsidRDefault="0041485E">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If schools wanted continued access to systems a traded charge would have to be applied</w:t>
            </w:r>
          </w:p>
        </w:tc>
      </w:tr>
      <w:tr w:rsidRPr="006033F3" w:rsidR="0041485E" w:rsidTr="000F6D02">
        <w:trPr>
          <w:jc w:val="center"/>
        </w:trPr>
        <w:tc>
          <w:tcPr>
            <w:tcW w:w="4531" w:type="dxa"/>
            <w:vAlign w:val="center"/>
          </w:tcPr>
          <w:p w:rsidRPr="006033F3" w:rsidR="0041485E" w:rsidP="009816C2" w:rsidRDefault="0041485E">
            <w:pPr>
              <w:rPr>
                <w:rStyle w:val="Hyperlink"/>
                <w:rFonts w:cs="Arial"/>
                <w:color w:val="auto"/>
                <w:sz w:val="22"/>
                <w:u w:val="none"/>
              </w:rPr>
            </w:pPr>
            <w:r w:rsidRPr="006033F3">
              <w:rPr>
                <w:rFonts w:ascii="Arial" w:hAnsi="Arial" w:cs="Arial"/>
              </w:rPr>
              <w:t>Appointment of governors and payment of governor expenses (Sch 2, 72)</w:t>
            </w:r>
          </w:p>
        </w:tc>
        <w:tc>
          <w:tcPr>
            <w:tcW w:w="5245" w:type="dxa"/>
            <w:vAlign w:val="center"/>
          </w:tcPr>
          <w:p w:rsidRPr="006033F3" w:rsidR="0041485E" w:rsidP="0041485E" w:rsidRDefault="0041485E">
            <w:pPr>
              <w:rPr>
                <w:rFonts w:ascii="Arial" w:hAnsi="Arial" w:cs="Arial"/>
              </w:rPr>
            </w:pPr>
            <w:r w:rsidRPr="006033F3">
              <w:rPr>
                <w:rFonts w:ascii="Arial" w:hAnsi="Arial" w:cs="Arial"/>
              </w:rPr>
              <w:t>No figure</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w:t>
            </w:r>
          </w:p>
        </w:tc>
        <w:tc>
          <w:tcPr>
            <w:tcW w:w="4677" w:type="dxa"/>
            <w:vAlign w:val="center"/>
          </w:tcPr>
          <w:p w:rsidRPr="006033F3" w:rsidR="0041485E" w:rsidP="0041485E" w:rsidRDefault="00FB157D">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41485E" w:rsidTr="008C4E01">
        <w:trPr>
          <w:jc w:val="center"/>
        </w:trPr>
        <w:tc>
          <w:tcPr>
            <w:tcW w:w="4531" w:type="dxa"/>
            <w:shd w:val="clear" w:color="auto" w:fill="A6A6A6" w:themeFill="background1" w:themeFillShade="A6"/>
            <w:vAlign w:val="center"/>
          </w:tcPr>
          <w:p w:rsidRPr="006033F3" w:rsidR="0041485E" w:rsidP="0041485E" w:rsidRDefault="0041485E">
            <w:pPr>
              <w:rPr>
                <w:rFonts w:ascii="Arial" w:hAnsi="Arial" w:cs="Arial"/>
                <w:b/>
                <w:u w:val="single"/>
              </w:rPr>
            </w:pPr>
          </w:p>
        </w:tc>
        <w:tc>
          <w:tcPr>
            <w:tcW w:w="5245" w:type="dxa"/>
            <w:shd w:val="clear" w:color="auto" w:fill="A6A6A6" w:themeFill="background1" w:themeFillShade="A6"/>
            <w:vAlign w:val="center"/>
          </w:tcPr>
          <w:p w:rsidRPr="006033F3" w:rsidR="0041485E" w:rsidP="0041485E" w:rsidRDefault="0041485E">
            <w:pPr>
              <w:rPr>
                <w:rFonts w:ascii="Arial" w:hAnsi="Arial" w:cs="Arial"/>
              </w:rPr>
            </w:pPr>
          </w:p>
        </w:tc>
        <w:tc>
          <w:tcPr>
            <w:tcW w:w="851" w:type="dxa"/>
            <w:shd w:val="clear" w:color="auto" w:fill="A6A6A6" w:themeFill="background1" w:themeFillShade="A6"/>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c>
          <w:tcPr>
            <w:tcW w:w="4677" w:type="dxa"/>
            <w:shd w:val="clear" w:color="auto" w:fill="A6A6A6" w:themeFill="background1" w:themeFillShade="A6"/>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r>
      <w:tr w:rsidRPr="006033F3" w:rsidR="0041485E" w:rsidTr="008C4E01">
        <w:trPr>
          <w:jc w:val="center"/>
        </w:trPr>
        <w:tc>
          <w:tcPr>
            <w:tcW w:w="9776" w:type="dxa"/>
            <w:gridSpan w:val="2"/>
            <w:vAlign w:val="center"/>
          </w:tcPr>
          <w:p w:rsidRPr="00AC47C2" w:rsidR="0041485E" w:rsidP="00BB59A7" w:rsidRDefault="00BB59A7">
            <w:pPr>
              <w:pStyle w:val="ListParagraph"/>
              <w:numPr>
                <w:ilvl w:val="0"/>
                <w:numId w:val="46"/>
              </w:numPr>
              <w:ind w:hanging="720"/>
              <w:rPr>
                <w:rFonts w:ascii="Arial" w:hAnsi="Arial" w:cs="Arial"/>
                <w:b/>
              </w:rPr>
            </w:pPr>
            <w:r w:rsidRPr="00AC47C2">
              <w:rPr>
                <w:rFonts w:ascii="Arial" w:hAnsi="Arial" w:cs="Arial"/>
                <w:b/>
                <w:sz w:val="28"/>
                <w:szCs w:val="28"/>
                <w:u w:val="single"/>
              </w:rPr>
              <w:t xml:space="preserve"> </w:t>
            </w:r>
            <w:r w:rsidRPr="00AC47C2" w:rsidR="0041485E">
              <w:rPr>
                <w:rFonts w:ascii="Arial" w:hAnsi="Arial" w:cs="Arial"/>
                <w:b/>
                <w:sz w:val="28"/>
                <w:szCs w:val="28"/>
                <w:u w:val="single"/>
              </w:rPr>
              <w:t>Education welfare</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c>
          <w:tcPr>
            <w:tcW w:w="4677" w:type="dxa"/>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r>
      <w:tr w:rsidRPr="006033F3" w:rsidR="00FB157D" w:rsidTr="00F32E0A">
        <w:trPr>
          <w:jc w:val="center"/>
        </w:trPr>
        <w:tc>
          <w:tcPr>
            <w:tcW w:w="4531" w:type="dxa"/>
            <w:vAlign w:val="center"/>
          </w:tcPr>
          <w:p w:rsidRPr="006033F3" w:rsidR="00FB157D" w:rsidP="00FB157D" w:rsidRDefault="00FB157D">
            <w:pPr>
              <w:pStyle w:val="DfESOutNumbered1"/>
              <w:numPr>
                <w:ilvl w:val="0"/>
                <w:numId w:val="0"/>
              </w:numPr>
              <w:tabs>
                <w:tab w:val="left" w:pos="1134"/>
                <w:tab w:val="left" w:pos="2563"/>
              </w:tabs>
              <w:rPr>
                <w:rFonts w:ascii="Arial" w:hAnsi="Arial" w:cs="Arial"/>
                <w:color w:val="auto"/>
                <w:szCs w:val="22"/>
              </w:rPr>
            </w:pPr>
            <w:r w:rsidRPr="006033F3">
              <w:rPr>
                <w:rFonts w:ascii="Arial" w:hAnsi="Arial" w:cs="Arial"/>
                <w:color w:val="auto"/>
                <w:szCs w:val="22"/>
              </w:rPr>
              <w:t>Inspection of attendance registers</w:t>
            </w:r>
          </w:p>
          <w:p w:rsidRPr="006033F3" w:rsidR="00FB157D" w:rsidP="00FB157D" w:rsidRDefault="00FB157D">
            <w:pPr>
              <w:pStyle w:val="DfESOutNumbered1"/>
              <w:numPr>
                <w:ilvl w:val="0"/>
                <w:numId w:val="0"/>
              </w:numPr>
              <w:tabs>
                <w:tab w:val="left" w:pos="1134"/>
                <w:tab w:val="left" w:pos="2563"/>
              </w:tabs>
              <w:rPr>
                <w:rStyle w:val="Hyperlink"/>
                <w:rFonts w:cs="Arial"/>
                <w:color w:val="auto"/>
                <w:sz w:val="22"/>
                <w:szCs w:val="22"/>
              </w:rPr>
            </w:pPr>
            <w:r w:rsidRPr="006033F3">
              <w:rPr>
                <w:rFonts w:ascii="Arial" w:hAnsi="Arial" w:cs="Arial"/>
                <w:color w:val="auto"/>
                <w:szCs w:val="22"/>
              </w:rPr>
              <w:t>(Sch 2, 78)</w:t>
            </w:r>
          </w:p>
        </w:tc>
        <w:tc>
          <w:tcPr>
            <w:tcW w:w="5245" w:type="dxa"/>
            <w:vAlign w:val="center"/>
          </w:tcPr>
          <w:p w:rsidRPr="006033F3" w:rsidR="00FB157D" w:rsidP="00FB157D" w:rsidRDefault="00FB157D">
            <w:pPr>
              <w:rPr>
                <w:rFonts w:ascii="Arial" w:hAnsi="Arial" w:cs="Arial"/>
              </w:rPr>
            </w:pPr>
            <w:r w:rsidRPr="006033F3">
              <w:rPr>
                <w:rFonts w:ascii="Arial" w:hAnsi="Arial" w:cs="Arial"/>
              </w:rPr>
              <w:t>No figure</w:t>
            </w:r>
          </w:p>
        </w:tc>
        <w:tc>
          <w:tcPr>
            <w:tcW w:w="851" w:type="dxa"/>
            <w:vAlign w:val="center"/>
          </w:tcPr>
          <w:p w:rsidRPr="006033F3" w:rsidR="00FB157D" w:rsidP="00FB157D" w:rsidRDefault="00FB157D">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w:t>
            </w:r>
          </w:p>
        </w:tc>
        <w:tc>
          <w:tcPr>
            <w:tcW w:w="4677" w:type="dxa"/>
            <w:vAlign w:val="center"/>
          </w:tcPr>
          <w:p w:rsidRPr="006033F3" w:rsidR="00FB157D" w:rsidP="00FB157D" w:rsidRDefault="00FB157D">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41485E" w:rsidTr="008C4E01">
        <w:trPr>
          <w:jc w:val="center"/>
        </w:trPr>
        <w:tc>
          <w:tcPr>
            <w:tcW w:w="4531" w:type="dxa"/>
            <w:shd w:val="clear" w:color="auto" w:fill="A6A6A6" w:themeFill="background1" w:themeFillShade="A6"/>
            <w:vAlign w:val="center"/>
          </w:tcPr>
          <w:p w:rsidRPr="006033F3" w:rsidR="0041485E" w:rsidP="0041485E" w:rsidRDefault="0041485E">
            <w:pPr>
              <w:pStyle w:val="DfESOutNumbered1"/>
              <w:numPr>
                <w:ilvl w:val="0"/>
                <w:numId w:val="0"/>
              </w:numPr>
              <w:tabs>
                <w:tab w:val="left" w:pos="1134"/>
                <w:tab w:val="left" w:pos="2563"/>
              </w:tabs>
              <w:rPr>
                <w:rStyle w:val="Hyperlink"/>
                <w:rFonts w:cs="Arial"/>
                <w:b/>
                <w:color w:val="auto"/>
                <w:sz w:val="22"/>
                <w:szCs w:val="22"/>
              </w:rPr>
            </w:pPr>
          </w:p>
        </w:tc>
        <w:tc>
          <w:tcPr>
            <w:tcW w:w="5245" w:type="dxa"/>
            <w:shd w:val="clear" w:color="auto" w:fill="A6A6A6" w:themeFill="background1" w:themeFillShade="A6"/>
            <w:vAlign w:val="center"/>
          </w:tcPr>
          <w:p w:rsidRPr="006033F3" w:rsidR="0041485E" w:rsidP="0041485E" w:rsidRDefault="0041485E">
            <w:pPr>
              <w:rPr>
                <w:rFonts w:ascii="Arial" w:hAnsi="Arial" w:cs="Arial"/>
              </w:rPr>
            </w:pPr>
          </w:p>
        </w:tc>
        <w:tc>
          <w:tcPr>
            <w:tcW w:w="851" w:type="dxa"/>
            <w:shd w:val="clear" w:color="auto" w:fill="A6A6A6" w:themeFill="background1" w:themeFillShade="A6"/>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c>
          <w:tcPr>
            <w:tcW w:w="4677" w:type="dxa"/>
            <w:shd w:val="clear" w:color="auto" w:fill="A6A6A6" w:themeFill="background1" w:themeFillShade="A6"/>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r>
    </w:tbl>
    <w:p w:rsidR="00261664" w:rsidRDefault="00261664">
      <w:r>
        <w:br w:type="page"/>
      </w:r>
    </w:p>
    <w:tbl>
      <w:tblPr>
        <w:tblStyle w:val="TableGrid"/>
        <w:tblW w:w="15304" w:type="dxa"/>
        <w:jc w:val="center"/>
        <w:tblLook w:val="04A0" w:firstRow="1" w:lastRow="0" w:firstColumn="1" w:lastColumn="0" w:noHBand="0" w:noVBand="1"/>
      </w:tblPr>
      <w:tblGrid>
        <w:gridCol w:w="4531"/>
        <w:gridCol w:w="5245"/>
        <w:gridCol w:w="851"/>
        <w:gridCol w:w="4677"/>
      </w:tblGrid>
      <w:tr w:rsidRPr="006033F3" w:rsidR="0041485E" w:rsidTr="008C4E01">
        <w:trPr>
          <w:trHeight w:val="296"/>
          <w:jc w:val="center"/>
        </w:trPr>
        <w:tc>
          <w:tcPr>
            <w:tcW w:w="9776" w:type="dxa"/>
            <w:gridSpan w:val="2"/>
            <w:vAlign w:val="center"/>
          </w:tcPr>
          <w:p w:rsidRPr="00AC47C2" w:rsidR="0041485E" w:rsidP="00BB59A7" w:rsidRDefault="0041485E">
            <w:pPr>
              <w:pStyle w:val="ListParagraph"/>
              <w:numPr>
                <w:ilvl w:val="0"/>
                <w:numId w:val="46"/>
              </w:numPr>
              <w:ind w:hanging="720"/>
              <w:rPr>
                <w:rFonts w:ascii="Arial" w:hAnsi="Arial" w:cs="Arial"/>
                <w:b/>
              </w:rPr>
            </w:pPr>
            <w:r w:rsidRPr="00AC47C2">
              <w:rPr>
                <w:rFonts w:ascii="Arial" w:hAnsi="Arial" w:cs="Arial"/>
                <w:b/>
                <w:sz w:val="28"/>
                <w:szCs w:val="28"/>
                <w:u w:val="single"/>
              </w:rPr>
              <w:lastRenderedPageBreak/>
              <w:t>Asset management</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c>
          <w:tcPr>
            <w:tcW w:w="4677" w:type="dxa"/>
          </w:tcPr>
          <w:p w:rsidRPr="006033F3" w:rsidR="0041485E" w:rsidP="0041485E" w:rsidRDefault="0041485E">
            <w:pPr>
              <w:pStyle w:val="DfESOutNumbered1"/>
              <w:numPr>
                <w:ilvl w:val="0"/>
                <w:numId w:val="0"/>
              </w:numPr>
              <w:tabs>
                <w:tab w:val="left" w:pos="1134"/>
                <w:tab w:val="left" w:pos="2563"/>
              </w:tabs>
              <w:jc w:val="center"/>
              <w:rPr>
                <w:rStyle w:val="Hyperlink"/>
                <w:rFonts w:cs="Arial"/>
                <w:sz w:val="22"/>
                <w:szCs w:val="22"/>
              </w:rPr>
            </w:pPr>
          </w:p>
        </w:tc>
      </w:tr>
      <w:tr w:rsidRPr="006033F3" w:rsidR="0041485E" w:rsidTr="00CA202E">
        <w:trPr>
          <w:trHeight w:val="1408"/>
          <w:jc w:val="center"/>
        </w:trPr>
        <w:tc>
          <w:tcPr>
            <w:tcW w:w="4531" w:type="dxa"/>
            <w:vAlign w:val="center"/>
          </w:tcPr>
          <w:p w:rsidRPr="006033F3" w:rsidR="0041485E" w:rsidP="0041485E" w:rsidRDefault="0041485E">
            <w:pPr>
              <w:rPr>
                <w:rFonts w:ascii="Arial" w:hAnsi="Arial" w:cs="Arial"/>
              </w:rPr>
            </w:pPr>
            <w:r w:rsidRPr="006033F3">
              <w:rPr>
                <w:rFonts w:ascii="Arial" w:hAnsi="Arial" w:cs="Arial"/>
              </w:rPr>
              <w:t xml:space="preserve">General landlord duties for all maintained schools (Sch 2, 76a &amp; b (section 542(2)) Education Act 1996; School Premises Regulations 2012) to ensure that school buildings have: </w:t>
            </w:r>
          </w:p>
          <w:p w:rsidRPr="006033F3" w:rsidR="0041485E" w:rsidP="0041485E" w:rsidRDefault="0041485E">
            <w:pPr>
              <w:rPr>
                <w:rStyle w:val="Hyperlink"/>
                <w:rFonts w:cs="Arial"/>
                <w:color w:val="auto"/>
                <w:sz w:val="22"/>
                <w:u w:val="none"/>
              </w:rPr>
            </w:pP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Appropriate facilities for pupils and staff (including medic</w:t>
            </w:r>
            <w:bookmarkStart w:name="_GoBack" w:id="0"/>
            <w:bookmarkEnd w:id="0"/>
            <w:r w:rsidRPr="006033F3">
              <w:rPr>
                <w:rFonts w:ascii="Arial" w:hAnsi="Arial"/>
                <w:color w:val="auto"/>
                <w:szCs w:val="22"/>
              </w:rPr>
              <w:t xml:space="preserve">al and accommodation) </w:t>
            </w: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xml:space="preserve">• the ability to sustain appropriate loads </w:t>
            </w: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xml:space="preserve">• reasonable weather resistance </w:t>
            </w: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xml:space="preserve">• safe escape routes </w:t>
            </w: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xml:space="preserve">• appropriate acoustic levels </w:t>
            </w: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xml:space="preserve">• lighting, heating and ventilation which meets the required standards </w:t>
            </w:r>
          </w:p>
          <w:p w:rsidRPr="006033F3" w:rsidR="0041485E" w:rsidP="0041485E" w:rsidRDefault="0041485E">
            <w:pPr>
              <w:pStyle w:val="Default"/>
              <w:spacing w:after="236"/>
              <w:rPr>
                <w:rFonts w:ascii="Arial" w:hAnsi="Arial"/>
                <w:color w:val="auto"/>
                <w:szCs w:val="22"/>
              </w:rPr>
            </w:pPr>
            <w:r w:rsidRPr="006033F3">
              <w:rPr>
                <w:rFonts w:ascii="Arial" w:hAnsi="Arial"/>
                <w:color w:val="auto"/>
                <w:szCs w:val="22"/>
              </w:rPr>
              <w:t xml:space="preserve">• adequate water supplies and drainage </w:t>
            </w:r>
          </w:p>
          <w:p w:rsidRPr="006033F3" w:rsidR="0041485E" w:rsidP="0041485E" w:rsidRDefault="0041485E">
            <w:pPr>
              <w:pStyle w:val="Default"/>
              <w:rPr>
                <w:rFonts w:ascii="Arial" w:hAnsi="Arial"/>
                <w:color w:val="auto"/>
                <w:szCs w:val="22"/>
              </w:rPr>
            </w:pPr>
            <w:r w:rsidRPr="006033F3">
              <w:rPr>
                <w:rFonts w:ascii="Arial" w:hAnsi="Arial"/>
                <w:color w:val="auto"/>
                <w:szCs w:val="22"/>
              </w:rPr>
              <w:t xml:space="preserve">• playing fields of the appropriate standards </w:t>
            </w:r>
          </w:p>
          <w:p w:rsidRPr="006033F3" w:rsidR="0041485E" w:rsidP="0041485E" w:rsidRDefault="0041485E">
            <w:pPr>
              <w:pStyle w:val="Default"/>
              <w:rPr>
                <w:rFonts w:ascii="Arial" w:hAnsi="Arial"/>
                <w:color w:val="auto"/>
                <w:szCs w:val="22"/>
              </w:rPr>
            </w:pPr>
          </w:p>
          <w:p w:rsidRPr="006033F3" w:rsidR="0041485E" w:rsidP="0041485E" w:rsidRDefault="0041485E">
            <w:pPr>
              <w:pStyle w:val="Default"/>
              <w:rPr>
                <w:rFonts w:ascii="Arial" w:hAnsi="Arial"/>
                <w:color w:val="auto"/>
                <w:szCs w:val="22"/>
              </w:rPr>
            </w:pPr>
            <w:r w:rsidRPr="006033F3">
              <w:rPr>
                <w:rFonts w:ascii="Arial" w:hAnsi="Arial"/>
                <w:color w:val="auto"/>
                <w:szCs w:val="22"/>
              </w:rPr>
              <w:t>• General health and safety duty as an employer for employees and others who may be affected (Health and Safety at Work etc Act 1974)</w:t>
            </w:r>
          </w:p>
          <w:p w:rsidRPr="006033F3" w:rsidR="0041485E" w:rsidP="0041485E" w:rsidRDefault="0041485E">
            <w:pPr>
              <w:pStyle w:val="Default"/>
              <w:rPr>
                <w:rFonts w:ascii="Arial" w:hAnsi="Arial"/>
                <w:color w:val="auto"/>
                <w:szCs w:val="22"/>
              </w:rPr>
            </w:pPr>
          </w:p>
          <w:p w:rsidRPr="006033F3" w:rsidR="0041485E" w:rsidP="0041485E" w:rsidRDefault="0041485E">
            <w:pPr>
              <w:pStyle w:val="Default"/>
              <w:rPr>
                <w:rStyle w:val="Hyperlink"/>
                <w:color w:val="auto"/>
                <w:sz w:val="22"/>
                <w:szCs w:val="22"/>
                <w:u w:val="none"/>
              </w:rPr>
            </w:pPr>
            <w:r w:rsidRPr="006033F3">
              <w:rPr>
                <w:rFonts w:ascii="Arial" w:hAnsi="Arial"/>
                <w:color w:val="auto"/>
                <w:szCs w:val="22"/>
              </w:rPr>
              <w:t>• Management of the risk from asbestos in community school buildings (Control of Asbestos Regulations 2012)</w:t>
            </w:r>
          </w:p>
        </w:tc>
        <w:tc>
          <w:tcPr>
            <w:tcW w:w="5245" w:type="dxa"/>
            <w:vAlign w:val="center"/>
          </w:tcPr>
          <w:p w:rsidRPr="006033F3" w:rsidR="0041485E" w:rsidP="0041485E" w:rsidRDefault="0041485E">
            <w:pPr>
              <w:rPr>
                <w:rFonts w:ascii="Arial" w:hAnsi="Arial" w:cs="Arial"/>
              </w:rPr>
            </w:pPr>
            <w:r w:rsidRPr="006033F3">
              <w:rPr>
                <w:rFonts w:ascii="Arial" w:hAnsi="Arial" w:cs="Arial"/>
              </w:rPr>
              <w:t>Corporate Resources Department: Undertaking annual landlord visits to ensure statutory compliance and in preparing floor layout plans for use in undertaking specific asset management duties such as fire risk assessments and asbestos surveys, maintaining schools access to the Council’s asset management database which contains condition survey information, review and appropriate appeals of schools’ rating assessments</w:t>
            </w:r>
          </w:p>
          <w:p w:rsidRPr="006033F3" w:rsidR="0041485E" w:rsidP="0041485E" w:rsidRDefault="0041485E">
            <w:pPr>
              <w:rPr>
                <w:rFonts w:ascii="Arial" w:hAnsi="Arial" w:cs="Arial"/>
              </w:rPr>
            </w:pPr>
          </w:p>
          <w:p w:rsidRPr="006033F3" w:rsidR="0041485E" w:rsidP="0041485E" w:rsidRDefault="0041485E">
            <w:pPr>
              <w:rPr>
                <w:rFonts w:ascii="Arial" w:hAnsi="Arial" w:cs="Arial"/>
              </w:rPr>
            </w:pPr>
            <w:r w:rsidRPr="006033F3">
              <w:rPr>
                <w:rFonts w:ascii="Arial" w:hAnsi="Arial" w:cs="Arial"/>
              </w:rPr>
              <w:t xml:space="preserve">The Council maintains condition surveys on maintained schools for which it provides capital funding.  Funding for school places is secured from the DfE and housing developers.  Investments in schools are manged and include all necessary approvals. </w:t>
            </w:r>
          </w:p>
          <w:p w:rsidRPr="006033F3" w:rsidR="0041485E" w:rsidP="0041485E" w:rsidRDefault="0041485E">
            <w:pPr>
              <w:rPr>
                <w:rFonts w:ascii="Arial" w:hAnsi="Arial" w:cs="Arial"/>
              </w:rPr>
            </w:pPr>
          </w:p>
          <w:p w:rsidRPr="006033F3" w:rsidR="0041485E" w:rsidP="0041485E" w:rsidRDefault="0041485E">
            <w:pPr>
              <w:rPr>
                <w:rFonts w:ascii="Arial" w:hAnsi="Arial" w:cs="Arial"/>
              </w:rPr>
            </w:pPr>
          </w:p>
          <w:p w:rsidRPr="006033F3" w:rsidR="0041485E" w:rsidP="0041485E" w:rsidRDefault="0041485E">
            <w:pPr>
              <w:rPr>
                <w:rFonts w:ascii="Arial" w:hAnsi="Arial" w:cs="Arial"/>
              </w:rPr>
            </w:pPr>
            <w:r w:rsidRPr="006033F3">
              <w:rPr>
                <w:rFonts w:ascii="Arial" w:hAnsi="Arial" w:cs="Arial"/>
              </w:rPr>
              <w:t>Children’s Services: General support and advice from the Development Section on sites and buildings issues. Also extended service to maintained schools, briefing and advising headteachers, talking to governing bodies re school places etc.</w:t>
            </w: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0.900</w:t>
            </w: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0.070</w:t>
            </w: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p w:rsidRPr="006033F3" w:rsidR="0041485E" w:rsidP="0041485E" w:rsidRDefault="0041485E">
            <w:pPr>
              <w:pStyle w:val="DfESOutNumbered1"/>
              <w:numPr>
                <w:ilvl w:val="0"/>
                <w:numId w:val="0"/>
              </w:numPr>
              <w:tabs>
                <w:tab w:val="left" w:pos="1134"/>
                <w:tab w:val="left" w:pos="2563"/>
              </w:tabs>
              <w:ind w:left="1843"/>
              <w:jc w:val="center"/>
              <w:rPr>
                <w:rStyle w:val="Hyperlink"/>
                <w:rFonts w:cs="Arial"/>
                <w:b/>
                <w:color w:val="auto"/>
                <w:sz w:val="22"/>
                <w:szCs w:val="22"/>
                <w:u w:val="none"/>
              </w:rPr>
            </w:pPr>
          </w:p>
        </w:tc>
        <w:tc>
          <w:tcPr>
            <w:tcW w:w="4677" w:type="dxa"/>
          </w:tcPr>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r w:rsidRPr="00261664">
              <w:rPr>
                <w:rStyle w:val="Hyperlink"/>
                <w:rFonts w:cs="Arial"/>
                <w:color w:val="auto"/>
                <w:sz w:val="22"/>
                <w:szCs w:val="22"/>
                <w:u w:val="none"/>
              </w:rPr>
              <w:t>The LA still carries the responsibility</w:t>
            </w:r>
            <w:r>
              <w:rPr>
                <w:rStyle w:val="Hyperlink"/>
                <w:rFonts w:cs="Arial"/>
                <w:color w:val="auto"/>
                <w:sz w:val="22"/>
                <w:szCs w:val="22"/>
                <w:u w:val="none"/>
              </w:rPr>
              <w:t xml:space="preserve">, </w:t>
            </w:r>
            <w:r w:rsidRPr="00261664">
              <w:rPr>
                <w:rStyle w:val="Hyperlink"/>
                <w:rFonts w:cs="Arial"/>
                <w:color w:val="auto"/>
                <w:sz w:val="22"/>
                <w:szCs w:val="22"/>
                <w:u w:val="none"/>
              </w:rPr>
              <w:t>if funding is not top-sliced individual schools would be charged for any work undertaken by the LA.</w:t>
            </w: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00CA202E" w:rsidP="00CA202E" w:rsidRDefault="00CA202E">
            <w:pPr>
              <w:pStyle w:val="DfESOutNumbered1"/>
              <w:numPr>
                <w:ilvl w:val="0"/>
                <w:numId w:val="0"/>
              </w:numPr>
              <w:tabs>
                <w:tab w:val="left" w:pos="1134"/>
                <w:tab w:val="left" w:pos="2563"/>
              </w:tabs>
              <w:jc w:val="center"/>
              <w:rPr>
                <w:rStyle w:val="Hyperlink"/>
                <w:rFonts w:cs="Arial"/>
                <w:color w:val="auto"/>
                <w:sz w:val="22"/>
                <w:szCs w:val="22"/>
                <w:u w:val="none"/>
              </w:rPr>
            </w:pPr>
          </w:p>
          <w:p w:rsidRPr="006033F3" w:rsidR="0041485E" w:rsidP="00CA202E" w:rsidRDefault="0041485E">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 xml:space="preserve">Schools would be required to undertake this work themselves or buy them in, including the cost of any specialist </w:t>
            </w:r>
            <w:r w:rsidR="00CA202E">
              <w:rPr>
                <w:rStyle w:val="Hyperlink"/>
                <w:rFonts w:cs="Arial"/>
                <w:color w:val="auto"/>
                <w:sz w:val="22"/>
                <w:szCs w:val="22"/>
                <w:u w:val="none"/>
              </w:rPr>
              <w:t>s</w:t>
            </w:r>
            <w:r w:rsidRPr="006033F3">
              <w:rPr>
                <w:rStyle w:val="Hyperlink"/>
                <w:rFonts w:cs="Arial"/>
                <w:color w:val="auto"/>
                <w:sz w:val="22"/>
                <w:szCs w:val="22"/>
                <w:u w:val="none"/>
              </w:rPr>
              <w:t>upport or advice.</w:t>
            </w:r>
          </w:p>
        </w:tc>
      </w:tr>
      <w:tr w:rsidRPr="006033F3" w:rsidR="0041485E" w:rsidTr="008C4E01">
        <w:trPr>
          <w:jc w:val="center"/>
        </w:trPr>
        <w:tc>
          <w:tcPr>
            <w:tcW w:w="4531" w:type="dxa"/>
            <w:shd w:val="clear" w:color="auto" w:fill="A6A6A6" w:themeFill="background1" w:themeFillShade="A6"/>
            <w:vAlign w:val="center"/>
          </w:tcPr>
          <w:p w:rsidRPr="006033F3" w:rsidR="0041485E" w:rsidP="0041485E" w:rsidRDefault="0041485E">
            <w:pPr>
              <w:pStyle w:val="DfESOutNumbered1"/>
              <w:numPr>
                <w:ilvl w:val="0"/>
                <w:numId w:val="0"/>
              </w:numPr>
              <w:tabs>
                <w:tab w:val="left" w:pos="1134"/>
                <w:tab w:val="left" w:pos="2563"/>
              </w:tabs>
              <w:rPr>
                <w:rStyle w:val="Hyperlink"/>
                <w:rFonts w:cs="Arial"/>
                <w:color w:val="auto"/>
                <w:sz w:val="22"/>
                <w:szCs w:val="22"/>
              </w:rPr>
            </w:pPr>
          </w:p>
        </w:tc>
        <w:tc>
          <w:tcPr>
            <w:tcW w:w="5245" w:type="dxa"/>
            <w:shd w:val="clear" w:color="auto" w:fill="A6A6A6" w:themeFill="background1" w:themeFillShade="A6"/>
            <w:vAlign w:val="center"/>
          </w:tcPr>
          <w:p w:rsidRPr="006033F3" w:rsidR="0041485E" w:rsidP="0041485E" w:rsidRDefault="0041485E">
            <w:pPr>
              <w:jc w:val="center"/>
              <w:rPr>
                <w:rFonts w:ascii="Arial" w:hAnsi="Arial" w:cs="Arial"/>
              </w:rPr>
            </w:pPr>
          </w:p>
        </w:tc>
        <w:tc>
          <w:tcPr>
            <w:tcW w:w="851" w:type="dxa"/>
            <w:shd w:val="clear" w:color="auto" w:fill="A6A6A6" w:themeFill="background1" w:themeFillShade="A6"/>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tc>
        <w:tc>
          <w:tcPr>
            <w:tcW w:w="4677" w:type="dxa"/>
            <w:shd w:val="clear" w:color="auto" w:fill="A6A6A6" w:themeFill="background1" w:themeFillShade="A6"/>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tc>
      </w:tr>
      <w:tr w:rsidRPr="006033F3" w:rsidR="0041485E" w:rsidTr="008C4E01">
        <w:trPr>
          <w:jc w:val="center"/>
        </w:trPr>
        <w:tc>
          <w:tcPr>
            <w:tcW w:w="4531" w:type="dxa"/>
            <w:vAlign w:val="center"/>
          </w:tcPr>
          <w:p w:rsidRPr="00AC47C2" w:rsidR="0041485E" w:rsidP="00BB59A7" w:rsidRDefault="0041485E">
            <w:pPr>
              <w:pStyle w:val="ListParagraph"/>
              <w:numPr>
                <w:ilvl w:val="0"/>
                <w:numId w:val="46"/>
              </w:numPr>
              <w:ind w:hanging="691"/>
              <w:rPr>
                <w:rStyle w:val="Hyperlink"/>
                <w:rFonts w:cs="Arial"/>
                <w:b/>
                <w:color w:val="auto"/>
                <w:sz w:val="28"/>
                <w:szCs w:val="28"/>
              </w:rPr>
            </w:pPr>
            <w:r w:rsidRPr="00AC47C2">
              <w:rPr>
                <w:rFonts w:ascii="Arial" w:hAnsi="Arial" w:cs="Arial"/>
                <w:b/>
                <w:sz w:val="28"/>
                <w:szCs w:val="28"/>
                <w:u w:val="single"/>
              </w:rPr>
              <w:t>Central Support Services</w:t>
            </w:r>
          </w:p>
        </w:tc>
        <w:tc>
          <w:tcPr>
            <w:tcW w:w="5245" w:type="dxa"/>
            <w:vAlign w:val="center"/>
          </w:tcPr>
          <w:p w:rsidRPr="006033F3" w:rsidR="0041485E" w:rsidP="0041485E" w:rsidRDefault="0041485E">
            <w:pPr>
              <w:jc w:val="center"/>
              <w:rPr>
                <w:rFonts w:ascii="Arial" w:hAnsi="Arial" w:cs="Arial"/>
              </w:rPr>
            </w:pPr>
          </w:p>
        </w:tc>
        <w:tc>
          <w:tcPr>
            <w:tcW w:w="851" w:type="dxa"/>
            <w:vAlign w:val="center"/>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tc>
        <w:tc>
          <w:tcPr>
            <w:tcW w:w="4677" w:type="dxa"/>
          </w:tcPr>
          <w:p w:rsidRPr="006033F3" w:rsidR="0041485E" w:rsidP="0041485E" w:rsidRDefault="0041485E">
            <w:pPr>
              <w:pStyle w:val="DfESOutNumbered1"/>
              <w:numPr>
                <w:ilvl w:val="0"/>
                <w:numId w:val="0"/>
              </w:numPr>
              <w:tabs>
                <w:tab w:val="left" w:pos="1134"/>
                <w:tab w:val="left" w:pos="2563"/>
              </w:tabs>
              <w:jc w:val="center"/>
              <w:rPr>
                <w:rStyle w:val="Hyperlink"/>
                <w:rFonts w:cs="Arial"/>
                <w:b/>
                <w:color w:val="auto"/>
                <w:sz w:val="22"/>
                <w:szCs w:val="22"/>
                <w:u w:val="none"/>
              </w:rPr>
            </w:pPr>
          </w:p>
        </w:tc>
      </w:tr>
      <w:tr w:rsidRPr="006033F3" w:rsidR="00BB59A7" w:rsidTr="00AB1A03">
        <w:trPr>
          <w:jc w:val="center"/>
        </w:trPr>
        <w:tc>
          <w:tcPr>
            <w:tcW w:w="4531" w:type="dxa"/>
            <w:vAlign w:val="center"/>
          </w:tcPr>
          <w:p w:rsidRPr="006033F3" w:rsidR="00BB59A7" w:rsidP="00BB59A7" w:rsidRDefault="00BB59A7">
            <w:pPr>
              <w:rPr>
                <w:rStyle w:val="Hyperlink"/>
                <w:rFonts w:cs="Arial"/>
                <w:color w:val="auto"/>
                <w:sz w:val="22"/>
                <w:u w:val="none"/>
              </w:rPr>
            </w:pPr>
            <w:r w:rsidRPr="006033F3">
              <w:rPr>
                <w:rFonts w:ascii="Arial" w:hAnsi="Arial" w:cs="Arial"/>
              </w:rPr>
              <w:t>Clothing grants (Sch 2, 52)</w:t>
            </w:r>
          </w:p>
        </w:tc>
        <w:tc>
          <w:tcPr>
            <w:tcW w:w="5245" w:type="dxa"/>
            <w:vAlign w:val="center"/>
          </w:tcPr>
          <w:p w:rsidRPr="006033F3" w:rsidR="00BB59A7" w:rsidP="00BB59A7" w:rsidRDefault="00BB59A7">
            <w:pPr>
              <w:jc w:val="center"/>
              <w:rPr>
                <w:rFonts w:ascii="Arial" w:hAnsi="Arial" w:cs="Arial"/>
              </w:rPr>
            </w:pPr>
            <w:r w:rsidRPr="006033F3">
              <w:rPr>
                <w:rFonts w:ascii="Arial" w:hAnsi="Arial" w:cs="Arial"/>
              </w:rPr>
              <w:t>No spend, schools can provide support via PPG</w:t>
            </w:r>
          </w:p>
        </w:tc>
        <w:tc>
          <w:tcPr>
            <w:tcW w:w="851"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w:t>
            </w:r>
          </w:p>
        </w:tc>
        <w:tc>
          <w:tcPr>
            <w:tcW w:w="4677"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BB59A7" w:rsidTr="000F6D02">
        <w:trPr>
          <w:jc w:val="center"/>
        </w:trPr>
        <w:tc>
          <w:tcPr>
            <w:tcW w:w="4531" w:type="dxa"/>
            <w:vAlign w:val="center"/>
          </w:tcPr>
          <w:p w:rsidRPr="006033F3" w:rsidR="00BB59A7" w:rsidP="00BB59A7" w:rsidRDefault="00BB59A7">
            <w:pPr>
              <w:rPr>
                <w:rStyle w:val="Hyperlink"/>
                <w:rFonts w:cs="Arial"/>
                <w:color w:val="auto"/>
                <w:sz w:val="22"/>
                <w:u w:val="none"/>
              </w:rPr>
            </w:pPr>
            <w:r w:rsidRPr="006033F3">
              <w:rPr>
                <w:rFonts w:ascii="Arial" w:hAnsi="Arial" w:cs="Arial"/>
              </w:rPr>
              <w:t>Provision of tuition in music, or on other music-related activities (Sch 2, 53)</w:t>
            </w:r>
          </w:p>
        </w:tc>
        <w:tc>
          <w:tcPr>
            <w:tcW w:w="5245" w:type="dxa"/>
            <w:vAlign w:val="center"/>
          </w:tcPr>
          <w:p w:rsidRPr="006033F3" w:rsidR="00BB59A7" w:rsidP="00BB59A7" w:rsidRDefault="00BB59A7">
            <w:pPr>
              <w:rPr>
                <w:rFonts w:ascii="Arial" w:hAnsi="Arial" w:cs="Arial"/>
              </w:rPr>
            </w:pPr>
            <w:r w:rsidRPr="006033F3">
              <w:rPr>
                <w:rFonts w:ascii="Arial" w:hAnsi="Arial" w:cs="Arial"/>
              </w:rPr>
              <w:t>Music Partnership activities funded by a grant from the Arts Council</w:t>
            </w:r>
          </w:p>
        </w:tc>
        <w:tc>
          <w:tcPr>
            <w:tcW w:w="851"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w:t>
            </w:r>
          </w:p>
        </w:tc>
        <w:tc>
          <w:tcPr>
            <w:tcW w:w="4677"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BB59A7" w:rsidTr="000F6D02">
        <w:trPr>
          <w:jc w:val="center"/>
        </w:trPr>
        <w:tc>
          <w:tcPr>
            <w:tcW w:w="4531" w:type="dxa"/>
            <w:vAlign w:val="center"/>
          </w:tcPr>
          <w:p w:rsidRPr="006033F3" w:rsidR="00BB59A7" w:rsidP="00BB59A7" w:rsidRDefault="00BB59A7">
            <w:pPr>
              <w:rPr>
                <w:rFonts w:ascii="Arial" w:hAnsi="Arial" w:cs="Arial"/>
              </w:rPr>
            </w:pPr>
            <w:r w:rsidRPr="006033F3">
              <w:rPr>
                <w:rFonts w:ascii="Arial" w:hAnsi="Arial" w:cs="Arial"/>
              </w:rPr>
              <w:lastRenderedPageBreak/>
              <w:t>Visual, creative and performing arts</w:t>
            </w:r>
          </w:p>
          <w:p w:rsidRPr="006033F3" w:rsidR="00BB59A7" w:rsidP="00BB59A7" w:rsidRDefault="00BB59A7">
            <w:pPr>
              <w:rPr>
                <w:rStyle w:val="Hyperlink"/>
                <w:rFonts w:cs="Arial"/>
                <w:color w:val="auto"/>
                <w:sz w:val="22"/>
                <w:u w:val="none"/>
              </w:rPr>
            </w:pPr>
            <w:r w:rsidRPr="006033F3">
              <w:rPr>
                <w:rFonts w:ascii="Arial" w:hAnsi="Arial" w:cs="Arial"/>
              </w:rPr>
              <w:t>(Sch 2, 54)</w:t>
            </w:r>
          </w:p>
        </w:tc>
        <w:tc>
          <w:tcPr>
            <w:tcW w:w="5245"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color w:val="auto"/>
                <w:sz w:val="22"/>
                <w:szCs w:val="22"/>
                <w:u w:val="none"/>
              </w:rPr>
              <w:t>No contribution sought</w:t>
            </w:r>
          </w:p>
        </w:tc>
        <w:tc>
          <w:tcPr>
            <w:tcW w:w="851"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b/>
                <w:color w:val="auto"/>
                <w:sz w:val="22"/>
                <w:szCs w:val="22"/>
                <w:u w:val="none"/>
              </w:rPr>
            </w:pPr>
          </w:p>
        </w:tc>
        <w:tc>
          <w:tcPr>
            <w:tcW w:w="4677" w:type="dxa"/>
            <w:vAlign w:val="center"/>
          </w:tcPr>
          <w:p w:rsidRPr="006033F3" w:rsidR="00BB59A7" w:rsidP="00BB59A7" w:rsidRDefault="00BB59A7">
            <w:pPr>
              <w:pStyle w:val="DfESOutNumbered1"/>
              <w:numPr>
                <w:ilvl w:val="0"/>
                <w:numId w:val="0"/>
              </w:numPr>
              <w:tabs>
                <w:tab w:val="left" w:pos="1134"/>
                <w:tab w:val="left" w:pos="2563"/>
              </w:tabs>
              <w:jc w:val="center"/>
              <w:rPr>
                <w:rStyle w:val="Hyperlink"/>
                <w:rFonts w:cs="Arial"/>
                <w:color w:val="auto"/>
                <w:sz w:val="22"/>
                <w:szCs w:val="22"/>
                <w:u w:val="none"/>
              </w:rPr>
            </w:pPr>
            <w:r w:rsidRPr="006033F3">
              <w:rPr>
                <w:rStyle w:val="Hyperlink"/>
                <w:rFonts w:cs="Arial"/>
                <w:color w:val="auto"/>
                <w:sz w:val="22"/>
                <w:szCs w:val="22"/>
                <w:u w:val="none"/>
              </w:rPr>
              <w:t>No contribution sought</w:t>
            </w:r>
            <w:r>
              <w:rPr>
                <w:rStyle w:val="Hyperlink"/>
                <w:rFonts w:cs="Arial"/>
                <w:color w:val="auto"/>
                <w:sz w:val="22"/>
                <w:szCs w:val="22"/>
                <w:u w:val="none"/>
              </w:rPr>
              <w:t xml:space="preserve"> for 2018-19</w:t>
            </w:r>
          </w:p>
        </w:tc>
      </w:tr>
      <w:tr w:rsidRPr="006033F3" w:rsidR="00261664" w:rsidTr="002B158C">
        <w:trPr>
          <w:jc w:val="center"/>
        </w:trPr>
        <w:tc>
          <w:tcPr>
            <w:tcW w:w="4531" w:type="dxa"/>
            <w:vAlign w:val="center"/>
          </w:tcPr>
          <w:p w:rsidRPr="006033F3" w:rsidR="00261664" w:rsidP="00261664" w:rsidRDefault="00261664">
            <w:pPr>
              <w:pStyle w:val="DfESOutNumbered1"/>
              <w:numPr>
                <w:ilvl w:val="0"/>
                <w:numId w:val="0"/>
              </w:numPr>
              <w:tabs>
                <w:tab w:val="left" w:pos="1134"/>
                <w:tab w:val="left" w:pos="2563"/>
              </w:tabs>
              <w:rPr>
                <w:rStyle w:val="Hyperlink"/>
                <w:rFonts w:cs="Arial"/>
                <w:sz w:val="22"/>
                <w:szCs w:val="22"/>
              </w:rPr>
            </w:pPr>
            <w:r w:rsidRPr="006033F3">
              <w:rPr>
                <w:rFonts w:ascii="Arial" w:hAnsi="Arial" w:cs="Arial"/>
                <w:szCs w:val="22"/>
              </w:rPr>
              <w:t>Outdoor education centres (but not centres mainly for the provision of organised games, swimming or athletics) (Sch 2, 55)</w:t>
            </w:r>
          </w:p>
        </w:tc>
        <w:tc>
          <w:tcPr>
            <w:tcW w:w="5245" w:type="dxa"/>
            <w:vAlign w:val="center"/>
          </w:tcPr>
          <w:p w:rsidRPr="006033F3" w:rsidR="00261664" w:rsidP="00261664" w:rsidRDefault="00261664">
            <w:pPr>
              <w:jc w:val="center"/>
              <w:rPr>
                <w:rFonts w:ascii="Arial" w:hAnsi="Arial" w:cs="Arial"/>
              </w:rPr>
            </w:pPr>
            <w:r>
              <w:rPr>
                <w:rFonts w:ascii="Arial" w:hAnsi="Arial" w:cs="Arial"/>
              </w:rPr>
              <w:t>LA subsidises its Outdoor Education Service – Lea Green and Whitehall.</w:t>
            </w:r>
          </w:p>
        </w:tc>
        <w:tc>
          <w:tcPr>
            <w:tcW w:w="851" w:type="dxa"/>
            <w:vAlign w:val="center"/>
          </w:tcPr>
          <w:p w:rsidRPr="006033F3" w:rsidR="00261664" w:rsidP="00261664" w:rsidRDefault="00261664">
            <w:pPr>
              <w:pStyle w:val="DfESOutNumbered1"/>
              <w:numPr>
                <w:ilvl w:val="0"/>
                <w:numId w:val="0"/>
              </w:numPr>
              <w:tabs>
                <w:tab w:val="left" w:pos="1134"/>
                <w:tab w:val="left" w:pos="2563"/>
              </w:tabs>
              <w:jc w:val="center"/>
              <w:rPr>
                <w:rStyle w:val="Hyperlink"/>
                <w:rFonts w:cs="Arial"/>
                <w:sz w:val="22"/>
                <w:szCs w:val="22"/>
              </w:rPr>
            </w:pPr>
          </w:p>
        </w:tc>
        <w:tc>
          <w:tcPr>
            <w:tcW w:w="4677" w:type="dxa"/>
            <w:vAlign w:val="center"/>
          </w:tcPr>
          <w:p w:rsidRPr="006033F3" w:rsidR="00261664" w:rsidP="0035644E" w:rsidRDefault="00261664">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color w:val="auto"/>
                <w:sz w:val="22"/>
                <w:szCs w:val="22"/>
                <w:u w:val="none"/>
              </w:rPr>
              <w:t>No contribution sought</w:t>
            </w:r>
            <w:r w:rsidR="0035644E">
              <w:rPr>
                <w:rStyle w:val="Hyperlink"/>
                <w:rFonts w:cs="Arial"/>
                <w:color w:val="auto"/>
                <w:sz w:val="22"/>
                <w:szCs w:val="22"/>
                <w:u w:val="none"/>
              </w:rPr>
              <w:t xml:space="preserve"> for 2018-19</w:t>
            </w:r>
            <w:r>
              <w:rPr>
                <w:rStyle w:val="Hyperlink"/>
                <w:rFonts w:cs="Arial"/>
                <w:color w:val="auto"/>
                <w:sz w:val="22"/>
                <w:szCs w:val="22"/>
                <w:u w:val="none"/>
              </w:rPr>
              <w:t>, schools buy the service directly</w:t>
            </w:r>
          </w:p>
        </w:tc>
      </w:tr>
      <w:tr w:rsidRPr="006033F3" w:rsidR="00261664" w:rsidTr="008C4E01">
        <w:trPr>
          <w:jc w:val="center"/>
        </w:trPr>
        <w:tc>
          <w:tcPr>
            <w:tcW w:w="4531" w:type="dxa"/>
            <w:shd w:val="clear" w:color="auto" w:fill="A6A6A6" w:themeFill="background1" w:themeFillShade="A6"/>
            <w:vAlign w:val="center"/>
          </w:tcPr>
          <w:p w:rsidRPr="006033F3" w:rsidR="00261664" w:rsidP="00261664" w:rsidRDefault="00261664">
            <w:pPr>
              <w:pStyle w:val="ListParagraph"/>
              <w:rPr>
                <w:rFonts w:ascii="Arial" w:hAnsi="Arial" w:cs="Arial"/>
                <w:sz w:val="28"/>
                <w:szCs w:val="28"/>
              </w:rPr>
            </w:pPr>
          </w:p>
        </w:tc>
        <w:tc>
          <w:tcPr>
            <w:tcW w:w="5245" w:type="dxa"/>
            <w:shd w:val="clear" w:color="auto" w:fill="A6A6A6" w:themeFill="background1" w:themeFillShade="A6"/>
            <w:vAlign w:val="center"/>
          </w:tcPr>
          <w:p w:rsidRPr="006033F3" w:rsidR="00261664" w:rsidP="00261664" w:rsidRDefault="00261664">
            <w:pPr>
              <w:jc w:val="center"/>
              <w:rPr>
                <w:rFonts w:ascii="Arial" w:hAnsi="Arial" w:cs="Arial"/>
              </w:rPr>
            </w:pPr>
          </w:p>
        </w:tc>
        <w:tc>
          <w:tcPr>
            <w:tcW w:w="851" w:type="dxa"/>
            <w:shd w:val="clear" w:color="auto" w:fill="A6A6A6" w:themeFill="background1" w:themeFillShade="A6"/>
            <w:vAlign w:val="center"/>
          </w:tcPr>
          <w:p w:rsidRPr="006033F3" w:rsidR="00261664" w:rsidP="00261664" w:rsidRDefault="00261664">
            <w:pPr>
              <w:pStyle w:val="DfESOutNumbered1"/>
              <w:numPr>
                <w:ilvl w:val="0"/>
                <w:numId w:val="0"/>
              </w:numPr>
              <w:tabs>
                <w:tab w:val="left" w:pos="1134"/>
                <w:tab w:val="left" w:pos="2563"/>
              </w:tabs>
              <w:jc w:val="center"/>
              <w:rPr>
                <w:rStyle w:val="Hyperlink"/>
                <w:rFonts w:cs="Arial"/>
                <w:color w:val="auto"/>
                <w:sz w:val="22"/>
                <w:szCs w:val="22"/>
              </w:rPr>
            </w:pPr>
          </w:p>
        </w:tc>
        <w:tc>
          <w:tcPr>
            <w:tcW w:w="4677" w:type="dxa"/>
            <w:shd w:val="clear" w:color="auto" w:fill="A6A6A6" w:themeFill="background1" w:themeFillShade="A6"/>
          </w:tcPr>
          <w:p w:rsidRPr="006033F3" w:rsidR="00261664" w:rsidP="00261664" w:rsidRDefault="00261664">
            <w:pPr>
              <w:pStyle w:val="DfESOutNumbered1"/>
              <w:numPr>
                <w:ilvl w:val="0"/>
                <w:numId w:val="0"/>
              </w:numPr>
              <w:tabs>
                <w:tab w:val="left" w:pos="1134"/>
                <w:tab w:val="left" w:pos="2563"/>
              </w:tabs>
              <w:jc w:val="center"/>
              <w:rPr>
                <w:rStyle w:val="Hyperlink"/>
                <w:rFonts w:cs="Arial"/>
                <w:color w:val="auto"/>
                <w:sz w:val="22"/>
                <w:szCs w:val="22"/>
              </w:rPr>
            </w:pPr>
          </w:p>
        </w:tc>
      </w:tr>
      <w:tr w:rsidRPr="006033F3" w:rsidR="00261664" w:rsidTr="008C4E01">
        <w:trPr>
          <w:jc w:val="center"/>
        </w:trPr>
        <w:tc>
          <w:tcPr>
            <w:tcW w:w="9776" w:type="dxa"/>
            <w:gridSpan w:val="2"/>
            <w:vAlign w:val="center"/>
          </w:tcPr>
          <w:p w:rsidRPr="00AC47C2" w:rsidR="00261664" w:rsidP="00BB59A7" w:rsidRDefault="00261664">
            <w:pPr>
              <w:pStyle w:val="ListParagraph"/>
              <w:numPr>
                <w:ilvl w:val="0"/>
                <w:numId w:val="46"/>
              </w:numPr>
              <w:ind w:hanging="720"/>
              <w:rPr>
                <w:rFonts w:ascii="Arial" w:hAnsi="Arial" w:cs="Arial"/>
                <w:b/>
              </w:rPr>
            </w:pPr>
            <w:r w:rsidRPr="00AC47C2">
              <w:rPr>
                <w:rFonts w:ascii="Arial" w:hAnsi="Arial" w:cs="Arial"/>
                <w:b/>
                <w:sz w:val="28"/>
                <w:szCs w:val="28"/>
                <w:u w:val="single"/>
              </w:rPr>
              <w:t>Monitoring national curriculum assessment</w:t>
            </w:r>
          </w:p>
        </w:tc>
        <w:tc>
          <w:tcPr>
            <w:tcW w:w="851" w:type="dxa"/>
            <w:vAlign w:val="center"/>
          </w:tcPr>
          <w:p w:rsidRPr="006033F3" w:rsidR="00261664" w:rsidP="00261664" w:rsidRDefault="00261664">
            <w:pPr>
              <w:pStyle w:val="DfESOutNumbered1"/>
              <w:numPr>
                <w:ilvl w:val="0"/>
                <w:numId w:val="0"/>
              </w:numPr>
              <w:tabs>
                <w:tab w:val="left" w:pos="1134"/>
                <w:tab w:val="left" w:pos="2563"/>
              </w:tabs>
              <w:jc w:val="center"/>
              <w:rPr>
                <w:rStyle w:val="Hyperlink"/>
                <w:rFonts w:cs="Arial"/>
                <w:sz w:val="22"/>
                <w:szCs w:val="22"/>
              </w:rPr>
            </w:pPr>
          </w:p>
        </w:tc>
        <w:tc>
          <w:tcPr>
            <w:tcW w:w="4677" w:type="dxa"/>
          </w:tcPr>
          <w:p w:rsidRPr="006033F3" w:rsidR="00261664" w:rsidP="00261664" w:rsidRDefault="00261664">
            <w:pPr>
              <w:pStyle w:val="DfESOutNumbered1"/>
              <w:numPr>
                <w:ilvl w:val="0"/>
                <w:numId w:val="0"/>
              </w:numPr>
              <w:tabs>
                <w:tab w:val="left" w:pos="1134"/>
                <w:tab w:val="left" w:pos="2563"/>
              </w:tabs>
              <w:jc w:val="center"/>
              <w:rPr>
                <w:rStyle w:val="Hyperlink"/>
                <w:rFonts w:cs="Arial"/>
                <w:sz w:val="22"/>
                <w:szCs w:val="22"/>
              </w:rPr>
            </w:pPr>
          </w:p>
        </w:tc>
      </w:tr>
      <w:tr w:rsidRPr="006033F3" w:rsidR="00261664" w:rsidTr="00261664">
        <w:trPr>
          <w:jc w:val="center"/>
        </w:trPr>
        <w:tc>
          <w:tcPr>
            <w:tcW w:w="4531" w:type="dxa"/>
            <w:vAlign w:val="center"/>
          </w:tcPr>
          <w:p w:rsidRPr="006033F3" w:rsidR="00261664" w:rsidP="00261664" w:rsidRDefault="00261664">
            <w:pPr>
              <w:pStyle w:val="DfESOutNumbered1"/>
              <w:numPr>
                <w:ilvl w:val="0"/>
                <w:numId w:val="0"/>
              </w:numPr>
              <w:tabs>
                <w:tab w:val="left" w:pos="1134"/>
                <w:tab w:val="left" w:pos="2563"/>
              </w:tabs>
              <w:rPr>
                <w:rStyle w:val="Hyperlink"/>
                <w:rFonts w:cs="Arial"/>
                <w:sz w:val="22"/>
                <w:szCs w:val="22"/>
              </w:rPr>
            </w:pPr>
            <w:r w:rsidRPr="006033F3">
              <w:rPr>
                <w:rFonts w:ascii="Arial" w:hAnsi="Arial" w:cs="Arial"/>
                <w:szCs w:val="22"/>
              </w:rPr>
              <w:t>Monitoring of National Curriculum assessments (Sch 2, 74)</w:t>
            </w:r>
          </w:p>
        </w:tc>
        <w:tc>
          <w:tcPr>
            <w:tcW w:w="5245" w:type="dxa"/>
            <w:vAlign w:val="center"/>
          </w:tcPr>
          <w:p w:rsidRPr="006033F3" w:rsidR="00261664" w:rsidP="00261664" w:rsidRDefault="00261664">
            <w:pPr>
              <w:rPr>
                <w:rFonts w:ascii="Arial" w:hAnsi="Arial" w:cs="Arial"/>
              </w:rPr>
            </w:pPr>
            <w:r w:rsidRPr="006033F3">
              <w:rPr>
                <w:rFonts w:ascii="Arial" w:hAnsi="Arial" w:cs="Arial"/>
              </w:rPr>
              <w:t>Schools receive moderation and monitoring visits in line with all statutory requirements:</w:t>
            </w:r>
          </w:p>
          <w:p w:rsidRPr="006033F3" w:rsidR="00261664" w:rsidP="00261664" w:rsidRDefault="00261664">
            <w:pPr>
              <w:pStyle w:val="ListParagraph"/>
              <w:numPr>
                <w:ilvl w:val="0"/>
                <w:numId w:val="42"/>
              </w:numPr>
              <w:spacing w:after="200" w:line="276" w:lineRule="auto"/>
              <w:ind w:left="436"/>
              <w:rPr>
                <w:rFonts w:ascii="Arial" w:hAnsi="Arial" w:cs="Arial"/>
              </w:rPr>
            </w:pPr>
            <w:r w:rsidRPr="006033F3">
              <w:rPr>
                <w:rFonts w:ascii="Arial" w:hAnsi="Arial" w:cs="Arial"/>
              </w:rPr>
              <w:t>moderation of end of EYFS assessments at least once every four years</w:t>
            </w:r>
          </w:p>
          <w:p w:rsidRPr="006033F3" w:rsidR="00261664" w:rsidP="00261664" w:rsidRDefault="00261664">
            <w:pPr>
              <w:pStyle w:val="ListParagraph"/>
              <w:numPr>
                <w:ilvl w:val="0"/>
                <w:numId w:val="42"/>
              </w:numPr>
              <w:spacing w:after="200" w:line="276" w:lineRule="auto"/>
              <w:ind w:left="436"/>
              <w:rPr>
                <w:rFonts w:ascii="Arial" w:hAnsi="Arial" w:cs="Arial"/>
              </w:rPr>
            </w:pPr>
            <w:r w:rsidRPr="006033F3">
              <w:rPr>
                <w:rFonts w:ascii="Arial" w:hAnsi="Arial" w:cs="Arial"/>
              </w:rPr>
              <w:t>moderation of end of key stage one teacher assessments at least once every four years in primary schools (and every other year in infant schools if this remains a statutory requirement)</w:t>
            </w:r>
          </w:p>
          <w:p w:rsidRPr="006033F3" w:rsidR="00261664" w:rsidP="00261664" w:rsidRDefault="00261664">
            <w:pPr>
              <w:pStyle w:val="ListParagraph"/>
              <w:numPr>
                <w:ilvl w:val="0"/>
                <w:numId w:val="42"/>
              </w:numPr>
              <w:spacing w:after="200" w:line="276" w:lineRule="auto"/>
              <w:ind w:left="436"/>
              <w:rPr>
                <w:rFonts w:ascii="Arial" w:hAnsi="Arial" w:cs="Arial"/>
              </w:rPr>
            </w:pPr>
            <w:r w:rsidRPr="006033F3">
              <w:rPr>
                <w:rFonts w:ascii="Arial" w:hAnsi="Arial" w:cs="Arial"/>
              </w:rPr>
              <w:t>moderation of Year 6 writing teacher assessments at least once every four years</w:t>
            </w:r>
          </w:p>
          <w:p w:rsidRPr="006033F3" w:rsidR="00261664" w:rsidP="00261664" w:rsidRDefault="00261664">
            <w:pPr>
              <w:pStyle w:val="ListParagraph"/>
              <w:numPr>
                <w:ilvl w:val="0"/>
                <w:numId w:val="42"/>
              </w:numPr>
              <w:spacing w:after="200" w:line="276" w:lineRule="auto"/>
              <w:ind w:left="436"/>
              <w:rPr>
                <w:rFonts w:ascii="Arial" w:hAnsi="Arial" w:cs="Arial"/>
              </w:rPr>
            </w:pPr>
            <w:r w:rsidRPr="006033F3">
              <w:rPr>
                <w:rFonts w:ascii="Arial" w:hAnsi="Arial" w:cs="Arial"/>
              </w:rPr>
              <w:t>unannounced monitoring visits to observe administration processes for the phonics screening check at least once every four years</w:t>
            </w:r>
          </w:p>
          <w:p w:rsidRPr="006033F3" w:rsidR="00261664" w:rsidP="00261664" w:rsidRDefault="00261664">
            <w:pPr>
              <w:pStyle w:val="ListParagraph"/>
              <w:numPr>
                <w:ilvl w:val="0"/>
                <w:numId w:val="42"/>
              </w:numPr>
              <w:spacing w:after="200" w:line="276" w:lineRule="auto"/>
              <w:ind w:left="436"/>
              <w:rPr>
                <w:rFonts w:ascii="Arial" w:hAnsi="Arial" w:cs="Arial"/>
              </w:rPr>
            </w:pPr>
            <w:r w:rsidRPr="006033F3">
              <w:rPr>
                <w:rFonts w:ascii="Arial" w:hAnsi="Arial" w:cs="Arial"/>
              </w:rPr>
              <w:t>unannounced monitoring visits to observe administration processes for key stage two SATS</w:t>
            </w:r>
          </w:p>
          <w:p w:rsidRPr="006033F3" w:rsidR="00261664" w:rsidP="00261664" w:rsidRDefault="00261664">
            <w:pPr>
              <w:rPr>
                <w:rFonts w:ascii="Arial" w:hAnsi="Arial" w:cs="Arial"/>
              </w:rPr>
            </w:pPr>
            <w:r w:rsidRPr="006033F3">
              <w:rPr>
                <w:rFonts w:ascii="Arial" w:hAnsi="Arial" w:cs="Arial"/>
              </w:rPr>
              <w:t>More frequent visits are arranged if there are teachers new to teaching in Year 2 or in Year 6; if head teachers request moderation; if the school is in an Ofsted category. These visits are also in line with statutory requirements of the DfE.</w:t>
            </w:r>
          </w:p>
        </w:tc>
        <w:tc>
          <w:tcPr>
            <w:tcW w:w="851" w:type="dxa"/>
            <w:vAlign w:val="center"/>
          </w:tcPr>
          <w:p w:rsidRPr="006033F3" w:rsidR="00261664" w:rsidP="00261664" w:rsidRDefault="00261664">
            <w:pPr>
              <w:pStyle w:val="DfESOutNumbered1"/>
              <w:numPr>
                <w:ilvl w:val="0"/>
                <w:numId w:val="0"/>
              </w:numPr>
              <w:tabs>
                <w:tab w:val="left" w:pos="1134"/>
                <w:tab w:val="left" w:pos="2563"/>
              </w:tabs>
              <w:jc w:val="center"/>
              <w:rPr>
                <w:rStyle w:val="Hyperlink"/>
                <w:rFonts w:cs="Arial"/>
                <w:b/>
                <w:color w:val="auto"/>
                <w:sz w:val="22"/>
                <w:szCs w:val="22"/>
                <w:u w:val="none"/>
              </w:rPr>
            </w:pPr>
            <w:r w:rsidRPr="006033F3">
              <w:rPr>
                <w:rStyle w:val="Hyperlink"/>
                <w:rFonts w:cs="Arial"/>
                <w:b/>
                <w:color w:val="auto"/>
                <w:sz w:val="22"/>
                <w:szCs w:val="22"/>
                <w:u w:val="none"/>
              </w:rPr>
              <w:t>0.050</w:t>
            </w:r>
          </w:p>
        </w:tc>
        <w:tc>
          <w:tcPr>
            <w:tcW w:w="4677" w:type="dxa"/>
            <w:vAlign w:val="center"/>
          </w:tcPr>
          <w:p w:rsidRPr="00261664" w:rsidR="00261664" w:rsidP="00261664" w:rsidRDefault="00261664">
            <w:pPr>
              <w:pStyle w:val="DfESOutNumbered1"/>
              <w:numPr>
                <w:ilvl w:val="0"/>
                <w:numId w:val="0"/>
              </w:numPr>
              <w:tabs>
                <w:tab w:val="left" w:pos="1134"/>
                <w:tab w:val="left" w:pos="2563"/>
              </w:tabs>
              <w:jc w:val="center"/>
              <w:rPr>
                <w:rStyle w:val="Hyperlink"/>
                <w:rFonts w:cs="Arial"/>
                <w:color w:val="auto"/>
                <w:sz w:val="22"/>
                <w:szCs w:val="22"/>
                <w:u w:val="none"/>
              </w:rPr>
            </w:pPr>
            <w:r w:rsidRPr="00261664">
              <w:rPr>
                <w:rStyle w:val="Hyperlink"/>
                <w:rFonts w:cs="Arial"/>
                <w:color w:val="auto"/>
                <w:sz w:val="22"/>
                <w:szCs w:val="22"/>
                <w:u w:val="none"/>
              </w:rPr>
              <w:t>The LA still carries the responsibility</w:t>
            </w:r>
            <w:r>
              <w:rPr>
                <w:rStyle w:val="Hyperlink"/>
                <w:rFonts w:cs="Arial"/>
                <w:color w:val="auto"/>
                <w:sz w:val="22"/>
                <w:szCs w:val="22"/>
                <w:u w:val="none"/>
              </w:rPr>
              <w:t xml:space="preserve">, </w:t>
            </w:r>
            <w:r w:rsidRPr="00261664">
              <w:rPr>
                <w:rStyle w:val="Hyperlink"/>
                <w:rFonts w:cs="Arial"/>
                <w:color w:val="auto"/>
                <w:sz w:val="22"/>
                <w:szCs w:val="22"/>
                <w:u w:val="none"/>
              </w:rPr>
              <w:t xml:space="preserve">if funding is not top-sliced individual schools would be charged for any work undertaken by the LA. </w:t>
            </w:r>
          </w:p>
        </w:tc>
      </w:tr>
    </w:tbl>
    <w:p w:rsidRPr="006033F3" w:rsidR="00AA41BB" w:rsidP="00AA41BB" w:rsidRDefault="00AA41BB">
      <w:pPr>
        <w:pStyle w:val="DfESOutNumbered1"/>
        <w:numPr>
          <w:ilvl w:val="0"/>
          <w:numId w:val="0"/>
        </w:numPr>
        <w:tabs>
          <w:tab w:val="left" w:pos="1134"/>
          <w:tab w:val="left" w:pos="2563"/>
        </w:tabs>
        <w:rPr>
          <w:rStyle w:val="Hyperlink"/>
          <w:rFonts w:cs="Arial"/>
          <w:sz w:val="22"/>
          <w:szCs w:val="22"/>
        </w:rPr>
      </w:pPr>
    </w:p>
    <w:sectPr w:rsidRPr="006033F3" w:rsidR="00AA41BB" w:rsidSect="003A4971">
      <w:pgSz w:w="16838" w:h="11906" w:orient="landscape"/>
      <w:pgMar w:top="709" w:right="709"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A03" w:rsidRDefault="00AB1A03" w:rsidP="00912B03">
      <w:r>
        <w:separator/>
      </w:r>
    </w:p>
  </w:endnote>
  <w:endnote w:type="continuationSeparator" w:id="0">
    <w:p w:rsidR="00AB1A03" w:rsidRDefault="00AB1A03"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6332065"/>
      <w:docPartObj>
        <w:docPartGallery w:val="Page Numbers (Bottom of Page)"/>
        <w:docPartUnique/>
      </w:docPartObj>
    </w:sdtPr>
    <w:sdtEndPr>
      <w:rPr>
        <w:noProof/>
      </w:rPr>
    </w:sdtEndPr>
    <w:sdtContent>
      <w:p w:rsidR="00AB1A03" w:rsidRDefault="00AB1A03">
        <w:pPr>
          <w:pStyle w:val="Footer"/>
          <w:jc w:val="center"/>
        </w:pPr>
        <w:r>
          <w:fldChar w:fldCharType="begin"/>
        </w:r>
        <w:r>
          <w:instrText xml:space="preserve"> PAGE   \* MERGEFORMAT </w:instrText>
        </w:r>
        <w:r>
          <w:fldChar w:fldCharType="separate"/>
        </w:r>
        <w:r w:rsidR="0095408D">
          <w:rPr>
            <w:noProof/>
          </w:rPr>
          <w:t>10</w:t>
        </w:r>
        <w:r>
          <w:rPr>
            <w:noProof/>
          </w:rPr>
          <w:fldChar w:fldCharType="end"/>
        </w:r>
      </w:p>
    </w:sdtContent>
  </w:sdt>
  <w:p w:rsidR="00AB1A03" w:rsidRDefault="00AB1A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A03" w:rsidRDefault="00AB1A03" w:rsidP="00912B03">
      <w:r>
        <w:separator/>
      </w:r>
    </w:p>
  </w:footnote>
  <w:footnote w:type="continuationSeparator" w:id="0">
    <w:p w:rsidR="00AB1A03" w:rsidRDefault="00AB1A03"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15:restartNumberingAfterBreak="0">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05B17710"/>
    <w:multiLevelType w:val="hybridMultilevel"/>
    <w:tmpl w:val="788AAF70"/>
    <w:lvl w:ilvl="0" w:tplc="BEC8B0C8">
      <w:start w:val="1"/>
      <w:numFmt w:val="upperLetter"/>
      <w:lvlText w:val="%1."/>
      <w:lvlJc w:val="left"/>
      <w:pPr>
        <w:ind w:left="720" w:hanging="360"/>
      </w:pPr>
      <w:rPr>
        <w:rFonts w:asciiTheme="minorHAnsi" w:hAnsiTheme="minorHAnsi" w:hint="default"/>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175635"/>
    <w:multiLevelType w:val="hybridMultilevel"/>
    <w:tmpl w:val="FDF8D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4B59F2"/>
    <w:multiLevelType w:val="hybridMultilevel"/>
    <w:tmpl w:val="E390C862"/>
    <w:lvl w:ilvl="0" w:tplc="703661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EC0D0D"/>
    <w:multiLevelType w:val="hybridMultilevel"/>
    <w:tmpl w:val="171E5FF6"/>
    <w:lvl w:ilvl="0" w:tplc="AF6426DE">
      <w:start w:val="1"/>
      <w:numFmt w:val="bullet"/>
      <w:lvlText w:val="•"/>
      <w:lvlJc w:val="left"/>
      <w:pPr>
        <w:tabs>
          <w:tab w:val="num" w:pos="720"/>
        </w:tabs>
        <w:ind w:left="720" w:hanging="360"/>
      </w:pPr>
      <w:rPr>
        <w:rFonts w:ascii="Arial" w:hAnsi="Arial" w:hint="default"/>
      </w:rPr>
    </w:lvl>
    <w:lvl w:ilvl="1" w:tplc="8FB0CE58" w:tentative="1">
      <w:start w:val="1"/>
      <w:numFmt w:val="bullet"/>
      <w:lvlText w:val="•"/>
      <w:lvlJc w:val="left"/>
      <w:pPr>
        <w:tabs>
          <w:tab w:val="num" w:pos="1440"/>
        </w:tabs>
        <w:ind w:left="1440" w:hanging="360"/>
      </w:pPr>
      <w:rPr>
        <w:rFonts w:ascii="Arial" w:hAnsi="Arial" w:hint="default"/>
      </w:rPr>
    </w:lvl>
    <w:lvl w:ilvl="2" w:tplc="93A0C464" w:tentative="1">
      <w:start w:val="1"/>
      <w:numFmt w:val="bullet"/>
      <w:lvlText w:val="•"/>
      <w:lvlJc w:val="left"/>
      <w:pPr>
        <w:tabs>
          <w:tab w:val="num" w:pos="2160"/>
        </w:tabs>
        <w:ind w:left="2160" w:hanging="360"/>
      </w:pPr>
      <w:rPr>
        <w:rFonts w:ascii="Arial" w:hAnsi="Arial" w:hint="default"/>
      </w:rPr>
    </w:lvl>
    <w:lvl w:ilvl="3" w:tplc="C5BA18FC" w:tentative="1">
      <w:start w:val="1"/>
      <w:numFmt w:val="bullet"/>
      <w:lvlText w:val="•"/>
      <w:lvlJc w:val="left"/>
      <w:pPr>
        <w:tabs>
          <w:tab w:val="num" w:pos="2880"/>
        </w:tabs>
        <w:ind w:left="2880" w:hanging="360"/>
      </w:pPr>
      <w:rPr>
        <w:rFonts w:ascii="Arial" w:hAnsi="Arial" w:hint="default"/>
      </w:rPr>
    </w:lvl>
    <w:lvl w:ilvl="4" w:tplc="FC7850B2" w:tentative="1">
      <w:start w:val="1"/>
      <w:numFmt w:val="bullet"/>
      <w:lvlText w:val="•"/>
      <w:lvlJc w:val="left"/>
      <w:pPr>
        <w:tabs>
          <w:tab w:val="num" w:pos="3600"/>
        </w:tabs>
        <w:ind w:left="3600" w:hanging="360"/>
      </w:pPr>
      <w:rPr>
        <w:rFonts w:ascii="Arial" w:hAnsi="Arial" w:hint="default"/>
      </w:rPr>
    </w:lvl>
    <w:lvl w:ilvl="5" w:tplc="31F84914" w:tentative="1">
      <w:start w:val="1"/>
      <w:numFmt w:val="bullet"/>
      <w:lvlText w:val="•"/>
      <w:lvlJc w:val="left"/>
      <w:pPr>
        <w:tabs>
          <w:tab w:val="num" w:pos="4320"/>
        </w:tabs>
        <w:ind w:left="4320" w:hanging="360"/>
      </w:pPr>
      <w:rPr>
        <w:rFonts w:ascii="Arial" w:hAnsi="Arial" w:hint="default"/>
      </w:rPr>
    </w:lvl>
    <w:lvl w:ilvl="6" w:tplc="EECC8978" w:tentative="1">
      <w:start w:val="1"/>
      <w:numFmt w:val="bullet"/>
      <w:lvlText w:val="•"/>
      <w:lvlJc w:val="left"/>
      <w:pPr>
        <w:tabs>
          <w:tab w:val="num" w:pos="5040"/>
        </w:tabs>
        <w:ind w:left="5040" w:hanging="360"/>
      </w:pPr>
      <w:rPr>
        <w:rFonts w:ascii="Arial" w:hAnsi="Arial" w:hint="default"/>
      </w:rPr>
    </w:lvl>
    <w:lvl w:ilvl="7" w:tplc="6AF0F142" w:tentative="1">
      <w:start w:val="1"/>
      <w:numFmt w:val="bullet"/>
      <w:lvlText w:val="•"/>
      <w:lvlJc w:val="left"/>
      <w:pPr>
        <w:tabs>
          <w:tab w:val="num" w:pos="5760"/>
        </w:tabs>
        <w:ind w:left="5760" w:hanging="360"/>
      </w:pPr>
      <w:rPr>
        <w:rFonts w:ascii="Arial" w:hAnsi="Arial" w:hint="default"/>
      </w:rPr>
    </w:lvl>
    <w:lvl w:ilvl="8" w:tplc="1D908E5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066C70"/>
    <w:multiLevelType w:val="hybridMultilevel"/>
    <w:tmpl w:val="27CC0CE8"/>
    <w:lvl w:ilvl="0" w:tplc="C6F42B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D6141"/>
    <w:multiLevelType w:val="hybridMultilevel"/>
    <w:tmpl w:val="4386C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2" w15:restartNumberingAfterBreak="0">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030B"/>
    <w:multiLevelType w:val="hybridMultilevel"/>
    <w:tmpl w:val="A2841F6E"/>
    <w:lvl w:ilvl="0" w:tplc="30BAD7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D7B2876"/>
    <w:multiLevelType w:val="hybridMultilevel"/>
    <w:tmpl w:val="82A6AC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420B86"/>
    <w:multiLevelType w:val="multilevel"/>
    <w:tmpl w:val="78B2E55A"/>
    <w:styleLink w:val="LFO35"/>
    <w:lvl w:ilvl="0">
      <w:start w:val="1"/>
      <w:numFmt w:val="decimal"/>
      <w:pStyle w:val="DfESOutNumbered1"/>
      <w:lvlText w:val="%1."/>
      <w:lvlJc w:val="left"/>
      <w:pPr>
        <w:ind w:left="1843" w:firstLine="0"/>
      </w:pPr>
      <w:rPr>
        <w:b w:val="0"/>
        <w:color w:val="auto"/>
        <w:sz w:val="24"/>
      </w:rPr>
    </w:lvl>
    <w:lvl w:ilvl="1">
      <w:numFmt w:val="bullet"/>
      <w:lvlText w:val=""/>
      <w:lvlJc w:val="left"/>
      <w:pPr>
        <w:ind w:left="743" w:hanging="720"/>
      </w:pPr>
      <w:rPr>
        <w:rFonts w:ascii="Symbol" w:hAnsi="Symbol"/>
      </w:rPr>
    </w:lvl>
    <w:lvl w:ilvl="2">
      <w:start w:val="1"/>
      <w:numFmt w:val="decimal"/>
      <w:lvlText w:val="%1.%2.%3"/>
      <w:lvlJc w:val="left"/>
      <w:pPr>
        <w:ind w:left="1463" w:hanging="720"/>
      </w:pPr>
    </w:lvl>
    <w:lvl w:ilvl="3">
      <w:start w:val="1"/>
      <w:numFmt w:val="decimal"/>
      <w:lvlText w:val="%1.%2.%3.%4"/>
      <w:lvlJc w:val="left"/>
      <w:pPr>
        <w:ind w:left="2543" w:hanging="1080"/>
      </w:pPr>
    </w:lvl>
    <w:lvl w:ilvl="4">
      <w:start w:val="1"/>
      <w:numFmt w:val="decimal"/>
      <w:lvlText w:val="%1.%2.%3.%4.%5"/>
      <w:lvlJc w:val="left"/>
      <w:pPr>
        <w:ind w:left="3263" w:hanging="1080"/>
      </w:pPr>
    </w:lvl>
    <w:lvl w:ilvl="5">
      <w:start w:val="1"/>
      <w:numFmt w:val="decimal"/>
      <w:lvlText w:val="%1.%2.%3.%4.%5.%6"/>
      <w:lvlJc w:val="left"/>
      <w:pPr>
        <w:ind w:left="4271" w:hanging="1368"/>
      </w:pPr>
    </w:lvl>
    <w:lvl w:ilvl="6">
      <w:start w:val="1"/>
      <w:numFmt w:val="decimal"/>
      <w:lvlText w:val="%1.%2.%3.%4.%5.%6.%7"/>
      <w:lvlJc w:val="left"/>
      <w:pPr>
        <w:ind w:left="5279" w:hanging="1656"/>
      </w:pPr>
    </w:lvl>
    <w:lvl w:ilvl="7">
      <w:start w:val="1"/>
      <w:numFmt w:val="decimal"/>
      <w:lvlText w:val="%1.%2.%3.%4.%5.%6.%7.%8"/>
      <w:lvlJc w:val="left"/>
      <w:pPr>
        <w:ind w:left="5999" w:hanging="1656"/>
      </w:pPr>
    </w:lvl>
    <w:lvl w:ilvl="8">
      <w:start w:val="1"/>
      <w:numFmt w:val="decimal"/>
      <w:lvlText w:val="%1.%2.%3.%4.%5.%6.%7.%8.%9"/>
      <w:lvlJc w:val="left"/>
      <w:pPr>
        <w:ind w:left="6863" w:hanging="1800"/>
      </w:pPr>
    </w:lvl>
  </w:abstractNum>
  <w:abstractNum w:abstractNumId="30" w15:restartNumberingAfterBreak="0">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3" w15:restartNumberingAfterBreak="0">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FCF0817"/>
    <w:multiLevelType w:val="hybridMultilevel"/>
    <w:tmpl w:val="EC1C90BE"/>
    <w:lvl w:ilvl="0" w:tplc="16344AD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35"/>
  </w:num>
  <w:num w:numId="3">
    <w:abstractNumId w:val="9"/>
  </w:num>
  <w:num w:numId="4">
    <w:abstractNumId w:val="1"/>
  </w:num>
  <w:num w:numId="5">
    <w:abstractNumId w:val="38"/>
  </w:num>
  <w:num w:numId="6">
    <w:abstractNumId w:val="44"/>
  </w:num>
  <w:num w:numId="7">
    <w:abstractNumId w:val="33"/>
  </w:num>
  <w:num w:numId="8">
    <w:abstractNumId w:val="32"/>
  </w:num>
  <w:num w:numId="9">
    <w:abstractNumId w:val="34"/>
  </w:num>
  <w:num w:numId="10">
    <w:abstractNumId w:val="2"/>
  </w:num>
  <w:num w:numId="11">
    <w:abstractNumId w:val="37"/>
  </w:num>
  <w:num w:numId="12">
    <w:abstractNumId w:val="40"/>
  </w:num>
  <w:num w:numId="13">
    <w:abstractNumId w:val="13"/>
  </w:num>
  <w:num w:numId="14">
    <w:abstractNumId w:val="27"/>
  </w:num>
  <w:num w:numId="15">
    <w:abstractNumId w:val="23"/>
  </w:num>
  <w:num w:numId="16">
    <w:abstractNumId w:val="42"/>
  </w:num>
  <w:num w:numId="17">
    <w:abstractNumId w:val="25"/>
  </w:num>
  <w:num w:numId="18">
    <w:abstractNumId w:val="17"/>
  </w:num>
  <w:num w:numId="19">
    <w:abstractNumId w:val="14"/>
  </w:num>
  <w:num w:numId="20">
    <w:abstractNumId w:val="22"/>
  </w:num>
  <w:num w:numId="21">
    <w:abstractNumId w:val="8"/>
  </w:num>
  <w:num w:numId="22">
    <w:abstractNumId w:val="43"/>
  </w:num>
  <w:num w:numId="23">
    <w:abstractNumId w:val="12"/>
  </w:num>
  <w:num w:numId="24">
    <w:abstractNumId w:val="31"/>
  </w:num>
  <w:num w:numId="25">
    <w:abstractNumId w:val="30"/>
  </w:num>
  <w:num w:numId="26">
    <w:abstractNumId w:val="41"/>
  </w:num>
  <w:num w:numId="27">
    <w:abstractNumId w:val="39"/>
  </w:num>
  <w:num w:numId="28">
    <w:abstractNumId w:val="6"/>
  </w:num>
  <w:num w:numId="29">
    <w:abstractNumId w:val="7"/>
  </w:num>
  <w:num w:numId="30">
    <w:abstractNumId w:val="0"/>
  </w:num>
  <w:num w:numId="31">
    <w:abstractNumId w:val="36"/>
  </w:num>
  <w:num w:numId="32">
    <w:abstractNumId w:val="18"/>
  </w:num>
  <w:num w:numId="33">
    <w:abstractNumId w:val="26"/>
  </w:num>
  <w:num w:numId="34">
    <w:abstractNumId w:val="19"/>
  </w:num>
  <w:num w:numId="35">
    <w:abstractNumId w:val="16"/>
  </w:num>
  <w:num w:numId="36">
    <w:abstractNumId w:val="10"/>
  </w:num>
  <w:num w:numId="37">
    <w:abstractNumId w:val="5"/>
  </w:num>
  <w:num w:numId="38">
    <w:abstractNumId w:val="29"/>
  </w:num>
  <w:num w:numId="39">
    <w:abstractNumId w:val="20"/>
  </w:num>
  <w:num w:numId="40">
    <w:abstractNumId w:val="4"/>
  </w:num>
  <w:num w:numId="41">
    <w:abstractNumId w:val="45"/>
  </w:num>
  <w:num w:numId="42">
    <w:abstractNumId w:val="15"/>
  </w:num>
  <w:num w:numId="43">
    <w:abstractNumId w:val="24"/>
  </w:num>
  <w:num w:numId="44">
    <w:abstractNumId w:val="11"/>
  </w:num>
  <w:num w:numId="45">
    <w:abstractNumId w:val="28"/>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40"/>
    <w:rsid w:val="000363BA"/>
    <w:rsid w:val="00044A9A"/>
    <w:rsid w:val="0006045A"/>
    <w:rsid w:val="00072F2F"/>
    <w:rsid w:val="00074A7D"/>
    <w:rsid w:val="00076288"/>
    <w:rsid w:val="00086B40"/>
    <w:rsid w:val="000875FE"/>
    <w:rsid w:val="000A106C"/>
    <w:rsid w:val="000A16A7"/>
    <w:rsid w:val="000D3D5B"/>
    <w:rsid w:val="000E6C36"/>
    <w:rsid w:val="000F2DC6"/>
    <w:rsid w:val="000F4981"/>
    <w:rsid w:val="000F6D02"/>
    <w:rsid w:val="00125B2A"/>
    <w:rsid w:val="001332FF"/>
    <w:rsid w:val="001514DE"/>
    <w:rsid w:val="00152055"/>
    <w:rsid w:val="0017097A"/>
    <w:rsid w:val="00193158"/>
    <w:rsid w:val="001953FC"/>
    <w:rsid w:val="00196326"/>
    <w:rsid w:val="001967CF"/>
    <w:rsid w:val="001A2C83"/>
    <w:rsid w:val="001F5454"/>
    <w:rsid w:val="00200150"/>
    <w:rsid w:val="00201BC4"/>
    <w:rsid w:val="00220A8D"/>
    <w:rsid w:val="00232729"/>
    <w:rsid w:val="002403DA"/>
    <w:rsid w:val="00245590"/>
    <w:rsid w:val="002463B9"/>
    <w:rsid w:val="00251D68"/>
    <w:rsid w:val="00256A06"/>
    <w:rsid w:val="00261664"/>
    <w:rsid w:val="00261E9C"/>
    <w:rsid w:val="0026384C"/>
    <w:rsid w:val="00272AFF"/>
    <w:rsid w:val="00274EBD"/>
    <w:rsid w:val="002769ED"/>
    <w:rsid w:val="00281813"/>
    <w:rsid w:val="002865D0"/>
    <w:rsid w:val="002924F7"/>
    <w:rsid w:val="002B4E40"/>
    <w:rsid w:val="002B6DBA"/>
    <w:rsid w:val="002B7CEB"/>
    <w:rsid w:val="002C2F9A"/>
    <w:rsid w:val="002C3001"/>
    <w:rsid w:val="002C7FE9"/>
    <w:rsid w:val="002F38A4"/>
    <w:rsid w:val="00303FEE"/>
    <w:rsid w:val="00305179"/>
    <w:rsid w:val="00310D1C"/>
    <w:rsid w:val="00311931"/>
    <w:rsid w:val="0031193E"/>
    <w:rsid w:val="00312129"/>
    <w:rsid w:val="00312316"/>
    <w:rsid w:val="00316A18"/>
    <w:rsid w:val="00325E63"/>
    <w:rsid w:val="003473AC"/>
    <w:rsid w:val="00347A9D"/>
    <w:rsid w:val="00351A4D"/>
    <w:rsid w:val="0035644E"/>
    <w:rsid w:val="00363BE2"/>
    <w:rsid w:val="003745B9"/>
    <w:rsid w:val="00375BEF"/>
    <w:rsid w:val="003A0E0D"/>
    <w:rsid w:val="003A4971"/>
    <w:rsid w:val="003A5641"/>
    <w:rsid w:val="003C26B9"/>
    <w:rsid w:val="003C297C"/>
    <w:rsid w:val="003C3B46"/>
    <w:rsid w:val="003E2BD1"/>
    <w:rsid w:val="003E3377"/>
    <w:rsid w:val="004042FD"/>
    <w:rsid w:val="00412771"/>
    <w:rsid w:val="0041485E"/>
    <w:rsid w:val="0042042B"/>
    <w:rsid w:val="004278CF"/>
    <w:rsid w:val="00427B68"/>
    <w:rsid w:val="00441574"/>
    <w:rsid w:val="0044304B"/>
    <w:rsid w:val="00443126"/>
    <w:rsid w:val="00444BC8"/>
    <w:rsid w:val="00453622"/>
    <w:rsid w:val="00453B3C"/>
    <w:rsid w:val="004671A1"/>
    <w:rsid w:val="00470E08"/>
    <w:rsid w:val="004712F8"/>
    <w:rsid w:val="00482502"/>
    <w:rsid w:val="00482CB2"/>
    <w:rsid w:val="00492E34"/>
    <w:rsid w:val="004A645E"/>
    <w:rsid w:val="004B20E5"/>
    <w:rsid w:val="004D6F6A"/>
    <w:rsid w:val="004E4686"/>
    <w:rsid w:val="00500A69"/>
    <w:rsid w:val="0051128E"/>
    <w:rsid w:val="005158E4"/>
    <w:rsid w:val="005450C3"/>
    <w:rsid w:val="00571A63"/>
    <w:rsid w:val="00596002"/>
    <w:rsid w:val="005A3F65"/>
    <w:rsid w:val="005A67B3"/>
    <w:rsid w:val="005C15AE"/>
    <w:rsid w:val="005C2B97"/>
    <w:rsid w:val="005C4CF4"/>
    <w:rsid w:val="005C581A"/>
    <w:rsid w:val="005E0615"/>
    <w:rsid w:val="005E3F92"/>
    <w:rsid w:val="005F4DFA"/>
    <w:rsid w:val="006033F3"/>
    <w:rsid w:val="00605A4D"/>
    <w:rsid w:val="00646615"/>
    <w:rsid w:val="0066318C"/>
    <w:rsid w:val="00663AF1"/>
    <w:rsid w:val="00665200"/>
    <w:rsid w:val="00683019"/>
    <w:rsid w:val="006845BD"/>
    <w:rsid w:val="00694AE5"/>
    <w:rsid w:val="006B3EA6"/>
    <w:rsid w:val="006D16C5"/>
    <w:rsid w:val="006D1BE8"/>
    <w:rsid w:val="006F5E8F"/>
    <w:rsid w:val="00705BA4"/>
    <w:rsid w:val="00717811"/>
    <w:rsid w:val="00720E55"/>
    <w:rsid w:val="00724D90"/>
    <w:rsid w:val="00735A48"/>
    <w:rsid w:val="0073636B"/>
    <w:rsid w:val="0075256F"/>
    <w:rsid w:val="00756439"/>
    <w:rsid w:val="007664B5"/>
    <w:rsid w:val="00785DAF"/>
    <w:rsid w:val="007A1900"/>
    <w:rsid w:val="007A3BEC"/>
    <w:rsid w:val="007C44C9"/>
    <w:rsid w:val="007E0961"/>
    <w:rsid w:val="007E371C"/>
    <w:rsid w:val="007E7367"/>
    <w:rsid w:val="007F634B"/>
    <w:rsid w:val="008058A6"/>
    <w:rsid w:val="008119DD"/>
    <w:rsid w:val="008165A3"/>
    <w:rsid w:val="0081745F"/>
    <w:rsid w:val="008217BB"/>
    <w:rsid w:val="00826324"/>
    <w:rsid w:val="00836489"/>
    <w:rsid w:val="00850DBA"/>
    <w:rsid w:val="008619E4"/>
    <w:rsid w:val="00870DD9"/>
    <w:rsid w:val="00872F31"/>
    <w:rsid w:val="00876136"/>
    <w:rsid w:val="00880A05"/>
    <w:rsid w:val="00884647"/>
    <w:rsid w:val="0089257D"/>
    <w:rsid w:val="008B222C"/>
    <w:rsid w:val="008C4E01"/>
    <w:rsid w:val="008D0D84"/>
    <w:rsid w:val="008D5E38"/>
    <w:rsid w:val="008D5F97"/>
    <w:rsid w:val="008E5378"/>
    <w:rsid w:val="008F142A"/>
    <w:rsid w:val="008F37E9"/>
    <w:rsid w:val="008F64F0"/>
    <w:rsid w:val="00900077"/>
    <w:rsid w:val="00902621"/>
    <w:rsid w:val="00912B03"/>
    <w:rsid w:val="009262F2"/>
    <w:rsid w:val="0095408D"/>
    <w:rsid w:val="00954587"/>
    <w:rsid w:val="009662CF"/>
    <w:rsid w:val="00971F88"/>
    <w:rsid w:val="009816C2"/>
    <w:rsid w:val="00984080"/>
    <w:rsid w:val="009A6178"/>
    <w:rsid w:val="009C5055"/>
    <w:rsid w:val="009C751B"/>
    <w:rsid w:val="009E7D38"/>
    <w:rsid w:val="009F5779"/>
    <w:rsid w:val="00A0266A"/>
    <w:rsid w:val="00A055CD"/>
    <w:rsid w:val="00A11183"/>
    <w:rsid w:val="00A160E2"/>
    <w:rsid w:val="00A27527"/>
    <w:rsid w:val="00A34F10"/>
    <w:rsid w:val="00A54D65"/>
    <w:rsid w:val="00A776A5"/>
    <w:rsid w:val="00A94961"/>
    <w:rsid w:val="00AA41BB"/>
    <w:rsid w:val="00AA677B"/>
    <w:rsid w:val="00AB1A03"/>
    <w:rsid w:val="00AB3335"/>
    <w:rsid w:val="00AC47C2"/>
    <w:rsid w:val="00AF54A4"/>
    <w:rsid w:val="00B022AA"/>
    <w:rsid w:val="00B14179"/>
    <w:rsid w:val="00B301B2"/>
    <w:rsid w:val="00B35856"/>
    <w:rsid w:val="00B46157"/>
    <w:rsid w:val="00B507C0"/>
    <w:rsid w:val="00B6501F"/>
    <w:rsid w:val="00B71B0A"/>
    <w:rsid w:val="00B74241"/>
    <w:rsid w:val="00B84402"/>
    <w:rsid w:val="00B84C26"/>
    <w:rsid w:val="00B859F8"/>
    <w:rsid w:val="00B87F4F"/>
    <w:rsid w:val="00B97D1F"/>
    <w:rsid w:val="00BA22B7"/>
    <w:rsid w:val="00BA7E89"/>
    <w:rsid w:val="00BB59A7"/>
    <w:rsid w:val="00BD7A16"/>
    <w:rsid w:val="00BE0D6E"/>
    <w:rsid w:val="00BE237B"/>
    <w:rsid w:val="00C1250D"/>
    <w:rsid w:val="00C14739"/>
    <w:rsid w:val="00C31D91"/>
    <w:rsid w:val="00C34429"/>
    <w:rsid w:val="00C3650E"/>
    <w:rsid w:val="00C40BB2"/>
    <w:rsid w:val="00C624AF"/>
    <w:rsid w:val="00C77670"/>
    <w:rsid w:val="00C85214"/>
    <w:rsid w:val="00C85C86"/>
    <w:rsid w:val="00C85E30"/>
    <w:rsid w:val="00C95B0A"/>
    <w:rsid w:val="00CA202E"/>
    <w:rsid w:val="00CA7BFE"/>
    <w:rsid w:val="00CB0C1D"/>
    <w:rsid w:val="00CB430C"/>
    <w:rsid w:val="00CB52FA"/>
    <w:rsid w:val="00CC5899"/>
    <w:rsid w:val="00CD198B"/>
    <w:rsid w:val="00CE4C14"/>
    <w:rsid w:val="00CF60BA"/>
    <w:rsid w:val="00CF7A79"/>
    <w:rsid w:val="00D13677"/>
    <w:rsid w:val="00D3113D"/>
    <w:rsid w:val="00D47440"/>
    <w:rsid w:val="00D53C67"/>
    <w:rsid w:val="00D54AF8"/>
    <w:rsid w:val="00D56E0C"/>
    <w:rsid w:val="00D67260"/>
    <w:rsid w:val="00D800B7"/>
    <w:rsid w:val="00D85B8B"/>
    <w:rsid w:val="00D96311"/>
    <w:rsid w:val="00DA1298"/>
    <w:rsid w:val="00DA6E23"/>
    <w:rsid w:val="00DC68F4"/>
    <w:rsid w:val="00DD463D"/>
    <w:rsid w:val="00DD7A4C"/>
    <w:rsid w:val="00DE7039"/>
    <w:rsid w:val="00E05BD9"/>
    <w:rsid w:val="00E11436"/>
    <w:rsid w:val="00E147D2"/>
    <w:rsid w:val="00E22308"/>
    <w:rsid w:val="00E32299"/>
    <w:rsid w:val="00E47D6D"/>
    <w:rsid w:val="00E9440E"/>
    <w:rsid w:val="00EC3F61"/>
    <w:rsid w:val="00EE118B"/>
    <w:rsid w:val="00EE2748"/>
    <w:rsid w:val="00EF0BA8"/>
    <w:rsid w:val="00EF37D7"/>
    <w:rsid w:val="00F0237B"/>
    <w:rsid w:val="00F06CEC"/>
    <w:rsid w:val="00F142A8"/>
    <w:rsid w:val="00F41B7D"/>
    <w:rsid w:val="00F608BD"/>
    <w:rsid w:val="00F65D07"/>
    <w:rsid w:val="00F80176"/>
    <w:rsid w:val="00FA1816"/>
    <w:rsid w:val="00FB157D"/>
    <w:rsid w:val="00FD5575"/>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E66039-B5EA-44DF-939A-DD267613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3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rsid w:val="00AA41BB"/>
    <w:rPr>
      <w:rFonts w:ascii="Arial" w:hAnsi="Arial"/>
      <w:color w:val="0000FF"/>
      <w:sz w:val="24"/>
      <w:u w:val="single"/>
    </w:rPr>
  </w:style>
  <w:style w:type="paragraph" w:customStyle="1" w:styleId="DfESOutNumbered1">
    <w:name w:val="DfESOutNumbered1"/>
    <w:basedOn w:val="Normal"/>
    <w:rsid w:val="00AA41BB"/>
    <w:pPr>
      <w:numPr>
        <w:numId w:val="38"/>
      </w:numPr>
      <w:suppressAutoHyphens/>
      <w:autoSpaceDN w:val="0"/>
      <w:textAlignment w:val="baseline"/>
    </w:pPr>
    <w:rPr>
      <w:rFonts w:eastAsia="Times New Roman" w:cs="Times New Roman"/>
      <w:color w:val="0D0D0D"/>
      <w:szCs w:val="24"/>
      <w:lang w:eastAsia="en-GB"/>
    </w:rPr>
  </w:style>
  <w:style w:type="numbering" w:customStyle="1" w:styleId="LFO35">
    <w:name w:val="LFO35"/>
    <w:basedOn w:val="NoList"/>
    <w:rsid w:val="00AA41BB"/>
    <w:pPr>
      <w:numPr>
        <w:numId w:val="38"/>
      </w:numPr>
    </w:pPr>
  </w:style>
  <w:style w:type="character" w:styleId="FollowedHyperlink">
    <w:name w:val="FollowedHyperlink"/>
    <w:basedOn w:val="DefaultParagraphFont"/>
    <w:uiPriority w:val="99"/>
    <w:semiHidden/>
    <w:unhideWhenUsed/>
    <w:rsid w:val="00AA41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BA06D-0D7C-4E8D-B587-F904C025A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10</Pages>
  <Words>3034</Words>
  <Characters>17299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20293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2017-11-06 Education Services Grant</dc:title>
  <dc:creator>Helen Finney</dc:creator>
  <cp:lastModifiedBy>Jo Armstrong</cp:lastModifiedBy>
  <cp:revision>38</cp:revision>
  <cp:lastPrinted>2017-10-30T10:56:00Z</cp:lastPrinted>
  <dcterms:created xsi:type="dcterms:W3CDTF">2017-10-27T09:42:00Z</dcterms:created>
  <dcterms:modified xsi:type="dcterms:W3CDTF">2017-11-21T13:35:19Z</dcterms:modified>
  <cp:keywords>
  </cp:keywords>
  <dc:subject>
  </dc:subject>
</cp:coreProperties>
</file>