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9A56DE" w:rsidR="00B73C3D" w:rsidP="0002634B" w:rsidRDefault="00DD17E3">
      <w:pPr>
        <w:ind w:left="709"/>
        <w:jc w:val="center"/>
        <w:rPr>
          <w:rFonts w:ascii="Arial" w:hAnsi="Arial" w:cs="Arial"/>
          <w:b/>
          <w:sz w:val="26"/>
          <w:szCs w:val="26"/>
          <w:u w:val="single"/>
        </w:rPr>
      </w:pPr>
      <w:r w:rsidRPr="009A56DE">
        <w:rPr>
          <w:rFonts w:ascii="Arial" w:hAnsi="Arial" w:cs="Arial"/>
          <w:b/>
          <w:noProof/>
          <w:szCs w:val="24"/>
          <w:u w:val="single"/>
          <w:lang w:eastAsia="en-GB"/>
        </w:rPr>
        <mc:AlternateContent>
          <mc:Choice Requires="wps">
            <w:drawing>
              <wp:anchor distT="0" distB="0" distL="114300" distR="114300" simplePos="0" relativeHeight="251663360" behindDoc="0" locked="0" layoutInCell="1" allowOverlap="1" wp14:editId="49F1F1B2" wp14:anchorId="017D960C">
                <wp:simplePos x="0" y="0"/>
                <wp:positionH relativeFrom="column">
                  <wp:posOffset>5402580</wp:posOffset>
                </wp:positionH>
                <wp:positionV relativeFrom="paragraph">
                  <wp:posOffset>-83185</wp:posOffset>
                </wp:positionV>
                <wp:extent cx="1238250" cy="14039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1403985"/>
                        </a:xfrm>
                        <a:prstGeom prst="rect">
                          <a:avLst/>
                        </a:prstGeom>
                        <a:noFill/>
                        <a:ln w="9525">
                          <a:noFill/>
                          <a:miter lim="800000"/>
                          <a:headEnd/>
                          <a:tailEnd/>
                        </a:ln>
                      </wps:spPr>
                      <wps:txbx>
                        <w:txbxContent>
                          <w:p w:rsidRPr="0000788A" w:rsidR="00CF24C3" w:rsidP="003008EC" w:rsidRDefault="000C666C">
                            <w:pPr>
                              <w:rPr>
                                <w:rFonts w:ascii="Arial" w:hAnsi="Arial" w:cs="Arial"/>
                                <w:szCs w:val="24"/>
                              </w:rPr>
                            </w:pPr>
                            <w:r>
                              <w:rPr>
                                <w:rFonts w:ascii="Arial" w:hAnsi="Arial" w:cs="Arial"/>
                                <w:szCs w:val="24"/>
                              </w:rPr>
                              <w:t xml:space="preserve">Agenda item </w:t>
                            </w:r>
                            <w:r w:rsidR="00BD0F25">
                              <w:rPr>
                                <w:rFonts w:ascii="Arial" w:hAnsi="Arial" w:cs="Arial"/>
                                <w:szCs w:val="24"/>
                              </w:rP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017D960C">
                <v:stroke joinstyle="miter"/>
                <v:path gradientshapeok="t" o:connecttype="rect"/>
              </v:shapetype>
              <v:shape id="Text Box 1" style="position:absolute;left:0;text-align:left;margin-left:425.4pt;margin-top:-6.55pt;width:97.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SpCgIAAPMDAAAOAAAAZHJzL2Uyb0RvYy54bWysU11v2yAUfZ+0/4B4X+y48ZZYcaquXaZJ&#10;3YfU7gcQjGM04DIgsbNfvwtOU2t9q+YHC7j3Hs4597K+HrQiR+G8BFPT+SynRBgOjTT7mv583L5b&#10;UuIDMw1TYERNT8LT683bN+veVqKADlQjHEEQ46ve1rQLwVZZ5nknNPMzsMJgsAWnWcCt22eNYz2i&#10;a5UVef4+68E11gEX3uPp3Rikm4TftoKH723rRSCqpsgtpL9L/138Z5s1q/aO2U7yMw32ChaaSYOX&#10;XqDuWGDk4OQLKC25Aw9tmHHQGbSt5CJpQDXz/B81Dx2zImlBc7y92OT/Hyz/dvzhiGywd5QYprFF&#10;j2II5CMMZB7d6a2vMOnBYloY8DhmRqXe3gP/5YmB246ZvbhxDvpOsAbZpcpsUjri+Aiy679Cg9ew&#10;Q4AENLROR0A0gyA6dul06UykwuOVxdWyKDHEMTZf5FerZRnZZax6KrfOh88CNImLmjpsfYJnx3sf&#10;xtSnlHibga1UKrVfGdLXdFUWZSqYRLQMOJ1K6pou8/iN8xJVfjJNKg5MqnGNXJRBSlF2VDpqDsNu&#10;wMR4uIPmhAY4GKcQXw0uOnB/KOlxAmvqfx+YE5SoLwZNXM0XiziyabMoPxS4cdPIbhphhiNUTQMl&#10;4/I2pDEfW3WDZm9lsuGZyZkrTlYy8vwK4uhO9ynr+a1u/gIAAP//AwBQSwMEFAAGAAgAAAAhALWb&#10;JWbfAAAADAEAAA8AAABkcnMvZG93bnJldi54bWxMj8FOwzAQRO9I/IO1SNxaO4FCFOJUFWrLESgR&#10;Zzdekoh4bdluGv4e9wTHnR3NvKnWsxnZhD4MliRkSwEMqbV6oE5C87FbFMBCVKTVaAkl/GCAdX19&#10;ValS2zO943SIHUshFEoloY/RlZyHtkejwtI6pPT7st6omE7fce3VOYWbkedCPHCjBkoNvXL43GP7&#10;fTgZCS66/eOLf33bbHeTaD73TT50Wylvb+bNE7CIc/wzwwU/oUOdmI72RDqwUUKxEgk9Slhkdxmw&#10;i0Pcr5J0lJCLQgCvK/5/RP0LAAD//wMAUEsBAi0AFAAGAAgAAAAhALaDOJL+AAAA4QEAABMAAAAA&#10;AAAAAAAAAAAAAAAAAFtDb250ZW50X1R5cGVzXS54bWxQSwECLQAUAAYACAAAACEAOP0h/9YAAACU&#10;AQAACwAAAAAAAAAAAAAAAAAvAQAAX3JlbHMvLnJlbHNQSwECLQAUAAYACAAAACEAvg8kqQoCAADz&#10;AwAADgAAAAAAAAAAAAAAAAAuAgAAZHJzL2Uyb0RvYy54bWxQSwECLQAUAAYACAAAACEAtZslZt8A&#10;AAAMAQAADwAAAAAAAAAAAAAAAABkBAAAZHJzL2Rvd25yZXYueG1sUEsFBgAAAAAEAAQA8wAAAHAF&#10;AAAAAA==&#10;">
                <v:textbox style="mso-fit-shape-to-text:t">
                  <w:txbxContent>
                    <w:p w:rsidRPr="0000788A" w:rsidR="00CF24C3" w:rsidP="003008EC" w:rsidRDefault="000C666C">
                      <w:pPr>
                        <w:rPr>
                          <w:rFonts w:ascii="Arial" w:hAnsi="Arial" w:cs="Arial"/>
                          <w:szCs w:val="24"/>
                        </w:rPr>
                      </w:pPr>
                      <w:r>
                        <w:rPr>
                          <w:rFonts w:ascii="Arial" w:hAnsi="Arial" w:cs="Arial"/>
                          <w:szCs w:val="24"/>
                        </w:rPr>
                        <w:t xml:space="preserve">Agenda item </w:t>
                      </w:r>
                      <w:r w:rsidR="00BD0F25">
                        <w:rPr>
                          <w:rFonts w:ascii="Arial" w:hAnsi="Arial" w:cs="Arial"/>
                          <w:szCs w:val="24"/>
                        </w:rPr>
                        <w:t>7</w:t>
                      </w:r>
                    </w:p>
                  </w:txbxContent>
                </v:textbox>
              </v:shape>
            </w:pict>
          </mc:Fallback>
        </mc:AlternateContent>
      </w:r>
      <w:r w:rsidRPr="009A56DE" w:rsidR="00FC7D60">
        <w:rPr>
          <w:rFonts w:ascii="Arial" w:hAnsi="Arial" w:cs="Arial"/>
          <w:b/>
          <w:noProof/>
          <w:szCs w:val="24"/>
          <w:u w:val="single"/>
          <w:lang w:eastAsia="en-GB"/>
        </w:rPr>
        <mc:AlternateContent>
          <mc:Choice Requires="wps">
            <w:drawing>
              <wp:anchor distT="0" distB="0" distL="114300" distR="114300" simplePos="0" relativeHeight="251661312" behindDoc="0" locked="0" layoutInCell="1" allowOverlap="1" wp14:editId="043401E5" wp14:anchorId="54B022CD">
                <wp:simplePos x="0" y="0"/>
                <wp:positionH relativeFrom="column">
                  <wp:posOffset>431165</wp:posOffset>
                </wp:positionH>
                <wp:positionV relativeFrom="paragraph">
                  <wp:posOffset>-90805</wp:posOffset>
                </wp:positionV>
                <wp:extent cx="11906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03985"/>
                        </a:xfrm>
                        <a:prstGeom prst="rect">
                          <a:avLst/>
                        </a:prstGeom>
                        <a:noFill/>
                        <a:ln w="9525">
                          <a:noFill/>
                          <a:miter lim="800000"/>
                          <a:headEnd/>
                          <a:tailEnd/>
                        </a:ln>
                      </wps:spPr>
                      <wps:txbx>
                        <w:txbxContent>
                          <w:p w:rsidRPr="0000788A" w:rsidR="00CF24C3" w:rsidP="0000788A" w:rsidRDefault="00CF24C3">
                            <w:pPr>
                              <w:rPr>
                                <w:rFonts w:ascii="Arial" w:hAnsi="Arial" w:cs="Arial"/>
                                <w:szCs w:val="24"/>
                              </w:rPr>
                            </w:pPr>
                            <w:r>
                              <w:rPr>
                                <w:rFonts w:ascii="Arial" w:hAnsi="Arial" w:cs="Arial"/>
                                <w:szCs w:val="24"/>
                              </w:rPr>
                              <w:t>Rep 75</w:t>
                            </w:r>
                            <w:r w:rsidR="00E0095B">
                              <w:rPr>
                                <w:rFonts w:ascii="Arial" w:hAnsi="Arial" w:cs="Arial"/>
                                <w:szCs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style="position:absolute;left:0;text-align:left;margin-left:33.95pt;margin-top:-7.15pt;width:93.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2DQIAAPoDAAAOAAAAZHJzL2Uyb0RvYy54bWysU9tu2zAMfR+wfxD0vviypEuMOEXXLsOA&#10;7gK0+wBZlmNhkqhJSuzs60vJaRp0b8P8IIgmechzSK2vR63IQTgvwdS0mOWUCMOhlWZX05+P23dL&#10;SnxgpmUKjKjpUXh6vXn7Zj3YSpTQg2qFIwhifDXYmvYh2CrLPO+FZn4GVhh0duA0C2i6XdY6NiC6&#10;VlmZ51fZAK61DrjwHv/eTU66SfhdJ3j43nVeBKJqir2FdLp0NvHMNmtW7RyzveSnNtg/dKGZNFj0&#10;DHXHAiN7J/+C0pI78NCFGQedQddJLhIHZFPkr9g89MyKxAXF8fYsk/9/sPzb4Ycjsq1pSYlhGkf0&#10;KMZAPsJIyqjOYH2FQQ8Ww8KIv3HKiam398B/eWLgtmdmJ26cg6EXrMXuipiZXaROOD6CNMNXaLEM&#10;2wdIQGPndJQOxSCIjlM6nicTW+GxZLHKr8oFJRx9xTx/v1ouUg1WPadb58NnAZrES00djj7Bs8O9&#10;D7EdVj2HxGoGtlKpNH5lyFDT1QLxX3m0DLidSuqaLvP4TfsSWX4ybUoOTKrpjgWUOdGOTCfOYWzG&#10;pG/SJErSQHtEHRxMy4iPBy89uD+UDLiINfW/98wJStQXg1quivk8bm4y5osPJRru0tNcepjhCFXT&#10;QMl0vQ1p2yMxb29Q861Marx0cmoZFyyJdHoMcYMv7RT18mQ3TwAAAP//AwBQSwMEFAAGAAgAAAAh&#10;AKLEH7zgAAAACgEAAA8AAABkcnMvZG93bnJldi54bWxMj01PwkAQhu8m/ofNmHiDXSoUqN0SYgCP&#10;KDacl+7YNnY/0l1K/feOJ73NZJ6887z5ZjQdG7APrbMSZlMBDG3ldGtrCeXHfrICFqKyWnXOooRv&#10;DLAp7u9ylWl3s+84nGLNKMSGTEloYvQZ56Fq0KgwdR4t3T5db1Skta+57tWNwk3HEyFSblRr6UOj&#10;PL40WH2drkaCj/6wfO2Pb9vdfhDl+VAmbb2T8vFh3D4DizjGPxh+9UkdCnK6uKvVgXUS0uWaSAmT&#10;2fwJGAHJYjEHdqFBpCvgRc7/Vyh+AAAA//8DAFBLAQItABQABgAIAAAAIQC2gziS/gAAAOEBAAAT&#10;AAAAAAAAAAAAAAAAAAAAAABbQ29udGVudF9UeXBlc10ueG1sUEsBAi0AFAAGAAgAAAAhADj9If/W&#10;AAAAlAEAAAsAAAAAAAAAAAAAAAAALwEAAF9yZWxzLy5yZWxzUEsBAi0AFAAGAAgAAAAhAH6tzPYN&#10;AgAA+gMAAA4AAAAAAAAAAAAAAAAALgIAAGRycy9lMm9Eb2MueG1sUEsBAi0AFAAGAAgAAAAhAKLE&#10;H7zgAAAACgEAAA8AAAAAAAAAAAAAAAAAZwQAAGRycy9kb3ducmV2LnhtbFBLBQYAAAAABAAEAPMA&#10;AAB0BQAAAAA=&#10;" w14:anchorId="54B022CD">
                <v:textbox style="mso-fit-shape-to-text:t">
                  <w:txbxContent>
                    <w:p w:rsidRPr="0000788A" w:rsidR="00CF24C3" w:rsidP="0000788A" w:rsidRDefault="00CF24C3">
                      <w:pPr>
                        <w:rPr>
                          <w:rFonts w:ascii="Arial" w:hAnsi="Arial" w:cs="Arial"/>
                          <w:szCs w:val="24"/>
                        </w:rPr>
                      </w:pPr>
                      <w:r>
                        <w:rPr>
                          <w:rFonts w:ascii="Arial" w:hAnsi="Arial" w:cs="Arial"/>
                          <w:szCs w:val="24"/>
                        </w:rPr>
                        <w:t>Rep 75</w:t>
                      </w:r>
                      <w:r w:rsidR="00E0095B">
                        <w:rPr>
                          <w:rFonts w:ascii="Arial" w:hAnsi="Arial" w:cs="Arial"/>
                          <w:szCs w:val="24"/>
                        </w:rPr>
                        <w:t>2</w:t>
                      </w:r>
                    </w:p>
                  </w:txbxContent>
                </v:textbox>
              </v:shape>
            </w:pict>
          </mc:Fallback>
        </mc:AlternateContent>
      </w:r>
      <w:r w:rsidRPr="009A56DE" w:rsidR="00B73C3D">
        <w:rPr>
          <w:rFonts w:ascii="Arial" w:hAnsi="Arial" w:cs="Arial"/>
          <w:b/>
          <w:sz w:val="26"/>
          <w:szCs w:val="26"/>
          <w:u w:val="single"/>
        </w:rPr>
        <w:t>DERBYSHIRE COUNTY COUNCIL</w:t>
      </w:r>
    </w:p>
    <w:p w:rsidRPr="00760B1F" w:rsidR="00B73C3D" w:rsidP="00B73C3D" w:rsidRDefault="00B73C3D">
      <w:pPr>
        <w:ind w:left="709"/>
        <w:jc w:val="center"/>
        <w:rPr>
          <w:rFonts w:ascii="Arial" w:hAnsi="Arial" w:cs="Arial"/>
          <w:b/>
          <w:sz w:val="22"/>
          <w:szCs w:val="26"/>
          <w:u w:val="single"/>
        </w:rPr>
      </w:pPr>
    </w:p>
    <w:p w:rsidRPr="009A56DE" w:rsidR="00B73C3D" w:rsidP="00B73C3D" w:rsidRDefault="008A7DAD">
      <w:pPr>
        <w:ind w:left="709"/>
        <w:jc w:val="center"/>
        <w:rPr>
          <w:rFonts w:ascii="Arial" w:hAnsi="Arial" w:cs="Arial"/>
          <w:sz w:val="26"/>
          <w:szCs w:val="26"/>
        </w:rPr>
      </w:pPr>
      <w:r w:rsidRPr="009A56DE">
        <w:rPr>
          <w:rFonts w:ascii="Arial" w:hAnsi="Arial" w:cs="Arial"/>
          <w:b/>
          <w:sz w:val="26"/>
          <w:szCs w:val="26"/>
          <w:u w:val="single"/>
        </w:rPr>
        <w:t>Schools Forum</w:t>
      </w:r>
    </w:p>
    <w:p w:rsidRPr="00760B1F" w:rsidR="00B73C3D" w:rsidP="00B73C3D" w:rsidRDefault="00B73C3D">
      <w:pPr>
        <w:ind w:left="709"/>
        <w:jc w:val="center"/>
        <w:rPr>
          <w:rFonts w:ascii="Arial" w:hAnsi="Arial" w:cs="Arial"/>
          <w:b/>
          <w:sz w:val="22"/>
          <w:szCs w:val="26"/>
          <w:u w:val="single"/>
        </w:rPr>
      </w:pPr>
    </w:p>
    <w:p w:rsidRPr="009A56DE" w:rsidR="00B73C3D" w:rsidP="00B73C3D" w:rsidRDefault="00DD17E3">
      <w:pPr>
        <w:ind w:left="709"/>
        <w:jc w:val="center"/>
        <w:rPr>
          <w:rFonts w:ascii="Arial" w:hAnsi="Arial" w:cs="Arial"/>
          <w:b/>
          <w:sz w:val="26"/>
          <w:szCs w:val="26"/>
          <w:u w:val="single"/>
        </w:rPr>
      </w:pPr>
      <w:r>
        <w:rPr>
          <w:rFonts w:ascii="Arial" w:hAnsi="Arial" w:cs="Arial"/>
          <w:b/>
          <w:sz w:val="26"/>
          <w:szCs w:val="26"/>
          <w:u w:val="single"/>
        </w:rPr>
        <w:t>22</w:t>
      </w:r>
      <w:r>
        <w:rPr>
          <w:rFonts w:ascii="Arial" w:hAnsi="Arial" w:cs="Arial"/>
          <w:b/>
          <w:sz w:val="26"/>
          <w:szCs w:val="26"/>
          <w:u w:val="single"/>
          <w:vertAlign w:val="superscript"/>
        </w:rPr>
        <w:t>nd</w:t>
      </w:r>
      <w:r w:rsidRPr="009A56DE" w:rsidR="00343D9A">
        <w:rPr>
          <w:rFonts w:ascii="Arial" w:hAnsi="Arial" w:cs="Arial"/>
          <w:b/>
          <w:sz w:val="26"/>
          <w:szCs w:val="26"/>
          <w:u w:val="single"/>
        </w:rPr>
        <w:t xml:space="preserve"> </w:t>
      </w:r>
      <w:r>
        <w:rPr>
          <w:rFonts w:ascii="Arial" w:hAnsi="Arial" w:cs="Arial"/>
          <w:b/>
          <w:sz w:val="26"/>
          <w:szCs w:val="26"/>
          <w:u w:val="single"/>
        </w:rPr>
        <w:t xml:space="preserve">November </w:t>
      </w:r>
      <w:r w:rsidRPr="009A56DE" w:rsidR="00B73C3D">
        <w:rPr>
          <w:rFonts w:ascii="Arial" w:hAnsi="Arial" w:cs="Arial"/>
          <w:b/>
          <w:sz w:val="26"/>
          <w:szCs w:val="26"/>
          <w:u w:val="single"/>
        </w:rPr>
        <w:t>201</w:t>
      </w:r>
      <w:r w:rsidRPr="009A56DE" w:rsidR="00A5728B">
        <w:rPr>
          <w:rFonts w:ascii="Arial" w:hAnsi="Arial" w:cs="Arial"/>
          <w:b/>
          <w:sz w:val="26"/>
          <w:szCs w:val="26"/>
          <w:u w:val="single"/>
        </w:rPr>
        <w:t>8</w:t>
      </w:r>
    </w:p>
    <w:p w:rsidRPr="00760B1F" w:rsidR="00FC24B3" w:rsidP="00B73C3D" w:rsidRDefault="00FC24B3">
      <w:pPr>
        <w:ind w:left="709"/>
        <w:jc w:val="center"/>
        <w:rPr>
          <w:rFonts w:ascii="Arial" w:hAnsi="Arial" w:cs="Arial"/>
          <w:b/>
          <w:sz w:val="22"/>
          <w:szCs w:val="26"/>
          <w:u w:val="single"/>
        </w:rPr>
      </w:pPr>
    </w:p>
    <w:p w:rsidRPr="009A56DE" w:rsidR="00B73C3D" w:rsidP="00B73C3D" w:rsidRDefault="00B73C3D">
      <w:pPr>
        <w:ind w:left="709"/>
        <w:jc w:val="center"/>
        <w:rPr>
          <w:rFonts w:ascii="Arial" w:hAnsi="Arial" w:cs="Arial"/>
          <w:b/>
          <w:sz w:val="26"/>
          <w:szCs w:val="26"/>
          <w:u w:val="single"/>
        </w:rPr>
      </w:pPr>
      <w:r w:rsidRPr="009A56DE">
        <w:rPr>
          <w:rFonts w:ascii="Arial" w:hAnsi="Arial" w:cs="Arial"/>
          <w:b/>
          <w:sz w:val="26"/>
          <w:szCs w:val="26"/>
          <w:u w:val="single"/>
        </w:rPr>
        <w:t>Report of the Strategic Director for Children</w:t>
      </w:r>
      <w:r w:rsidRPr="009A56DE" w:rsidR="00E352A1">
        <w:rPr>
          <w:rFonts w:ascii="Arial" w:hAnsi="Arial" w:cs="Arial"/>
          <w:b/>
          <w:sz w:val="26"/>
          <w:szCs w:val="26"/>
          <w:u w:val="single"/>
        </w:rPr>
        <w:t>’s Services</w:t>
      </w:r>
    </w:p>
    <w:p w:rsidRPr="00760B1F" w:rsidR="00BA62D3" w:rsidP="00B73C3D" w:rsidRDefault="00BA62D3">
      <w:pPr>
        <w:ind w:left="709"/>
        <w:jc w:val="center"/>
        <w:rPr>
          <w:rFonts w:ascii="Arial" w:hAnsi="Arial" w:cs="Arial"/>
          <w:b/>
          <w:sz w:val="22"/>
          <w:szCs w:val="26"/>
          <w:u w:val="single"/>
        </w:rPr>
      </w:pPr>
    </w:p>
    <w:p w:rsidRPr="009A56DE" w:rsidR="00FB3B9D" w:rsidP="00FB3B9D" w:rsidRDefault="00E0095B">
      <w:pPr>
        <w:ind w:left="709"/>
        <w:jc w:val="center"/>
        <w:rPr>
          <w:rFonts w:ascii="Arial" w:hAnsi="Arial" w:cs="Arial"/>
          <w:b/>
          <w:sz w:val="26"/>
          <w:szCs w:val="26"/>
        </w:rPr>
      </w:pPr>
      <w:r>
        <w:rPr>
          <w:rFonts w:ascii="Arial" w:hAnsi="Arial" w:cs="Arial"/>
          <w:b/>
          <w:sz w:val="26"/>
          <w:szCs w:val="26"/>
          <w:u w:val="single"/>
        </w:rPr>
        <w:t>Pupil Growth funding</w:t>
      </w:r>
    </w:p>
    <w:p w:rsidRPr="00445311" w:rsidR="00B73C3D" w:rsidP="00461D77" w:rsidRDefault="00B73C3D">
      <w:pPr>
        <w:ind w:left="284"/>
        <w:rPr>
          <w:rFonts w:ascii="Arial" w:hAnsi="Arial" w:cs="Arial"/>
          <w:sz w:val="18"/>
          <w:szCs w:val="26"/>
        </w:rPr>
      </w:pPr>
    </w:p>
    <w:p w:rsidRPr="009A56DE" w:rsidR="00B73C3D" w:rsidP="00C012DD" w:rsidRDefault="00B73C3D">
      <w:pPr>
        <w:pStyle w:val="ListParagraph"/>
        <w:numPr>
          <w:ilvl w:val="0"/>
          <w:numId w:val="1"/>
        </w:numPr>
        <w:ind w:left="1418" w:hanging="1134"/>
        <w:rPr>
          <w:rFonts w:ascii="Arial" w:hAnsi="Arial" w:cs="Arial"/>
          <w:b/>
          <w:sz w:val="26"/>
          <w:szCs w:val="26"/>
        </w:rPr>
      </w:pPr>
      <w:r w:rsidRPr="009A56DE">
        <w:rPr>
          <w:rFonts w:ascii="Arial" w:hAnsi="Arial" w:cs="Arial"/>
          <w:b/>
          <w:sz w:val="26"/>
          <w:szCs w:val="26"/>
          <w:u w:val="single"/>
        </w:rPr>
        <w:t>Purpose of the Report</w:t>
      </w:r>
    </w:p>
    <w:p w:rsidRPr="00445311" w:rsidR="00B73C3D" w:rsidP="00F101F1" w:rsidRDefault="00B73C3D">
      <w:pPr>
        <w:ind w:left="284"/>
        <w:rPr>
          <w:rFonts w:ascii="Arial" w:hAnsi="Arial" w:cs="Arial"/>
          <w:sz w:val="18"/>
          <w:szCs w:val="26"/>
        </w:rPr>
      </w:pPr>
    </w:p>
    <w:p w:rsidR="00CF24C3" w:rsidP="00CF24C3" w:rsidRDefault="00FB3B9D">
      <w:pPr>
        <w:ind w:left="284"/>
        <w:rPr>
          <w:rFonts w:ascii="Arial" w:hAnsi="Arial" w:cs="Arial"/>
          <w:sz w:val="26"/>
          <w:szCs w:val="26"/>
        </w:rPr>
      </w:pPr>
      <w:r w:rsidRPr="009A56DE">
        <w:rPr>
          <w:rFonts w:ascii="Arial" w:hAnsi="Arial" w:cs="Arial"/>
          <w:sz w:val="26"/>
          <w:szCs w:val="26"/>
        </w:rPr>
        <w:t xml:space="preserve">To </w:t>
      </w:r>
      <w:r w:rsidR="00E0095B">
        <w:rPr>
          <w:rFonts w:ascii="Arial" w:hAnsi="Arial" w:cs="Arial"/>
          <w:sz w:val="26"/>
          <w:szCs w:val="26"/>
        </w:rPr>
        <w:t xml:space="preserve">inform the Schools Forum of the estimated growth funding allocation for 2019-20 and to </w:t>
      </w:r>
      <w:r w:rsidR="00EC42E0">
        <w:rPr>
          <w:rFonts w:ascii="Arial" w:hAnsi="Arial" w:cs="Arial"/>
          <w:sz w:val="26"/>
          <w:szCs w:val="26"/>
        </w:rPr>
        <w:t xml:space="preserve">determine its </w:t>
      </w:r>
      <w:r w:rsidR="00E0095B">
        <w:rPr>
          <w:rFonts w:ascii="Arial" w:hAnsi="Arial" w:cs="Arial"/>
          <w:sz w:val="26"/>
          <w:szCs w:val="26"/>
        </w:rPr>
        <w:t>use.</w:t>
      </w:r>
    </w:p>
    <w:p w:rsidRPr="007A45D0" w:rsidR="00B73C3D" w:rsidP="00CF24C3" w:rsidRDefault="00B73C3D">
      <w:pPr>
        <w:ind w:left="284"/>
        <w:rPr>
          <w:rFonts w:ascii="Arial" w:hAnsi="Arial" w:cs="Arial"/>
          <w:sz w:val="14"/>
          <w:szCs w:val="26"/>
        </w:rPr>
      </w:pPr>
    </w:p>
    <w:p w:rsidRPr="009A56DE" w:rsidR="00B73C3D" w:rsidP="005E3C8F" w:rsidRDefault="00B73C3D">
      <w:pPr>
        <w:ind w:left="1418" w:hanging="1134"/>
        <w:rPr>
          <w:rFonts w:ascii="Arial" w:hAnsi="Arial" w:cs="Arial"/>
          <w:b/>
          <w:sz w:val="26"/>
          <w:szCs w:val="26"/>
        </w:rPr>
      </w:pPr>
      <w:r w:rsidRPr="009A56DE">
        <w:rPr>
          <w:rFonts w:ascii="Arial" w:hAnsi="Arial" w:cs="Arial"/>
          <w:b/>
          <w:sz w:val="26"/>
          <w:szCs w:val="26"/>
        </w:rPr>
        <w:t>2.</w:t>
      </w:r>
      <w:r w:rsidRPr="009A56DE">
        <w:rPr>
          <w:rFonts w:ascii="Arial" w:hAnsi="Arial" w:cs="Arial"/>
          <w:b/>
          <w:sz w:val="26"/>
          <w:szCs w:val="26"/>
        </w:rPr>
        <w:tab/>
      </w:r>
      <w:r w:rsidRPr="009A56DE">
        <w:rPr>
          <w:rFonts w:ascii="Arial" w:hAnsi="Arial" w:cs="Arial"/>
          <w:b/>
          <w:sz w:val="26"/>
          <w:szCs w:val="26"/>
          <w:u w:val="single"/>
        </w:rPr>
        <w:t>Information and Analysis</w:t>
      </w:r>
      <w:r w:rsidRPr="009A56DE">
        <w:rPr>
          <w:rFonts w:ascii="Arial" w:hAnsi="Arial" w:cs="Arial"/>
          <w:b/>
          <w:sz w:val="26"/>
          <w:szCs w:val="26"/>
        </w:rPr>
        <w:t xml:space="preserve"> </w:t>
      </w:r>
    </w:p>
    <w:p w:rsidRPr="007A45D0" w:rsidR="00B73C3D" w:rsidP="00F101F1" w:rsidRDefault="00B73C3D">
      <w:pPr>
        <w:tabs>
          <w:tab w:val="left" w:pos="1418"/>
        </w:tabs>
        <w:ind w:left="284"/>
        <w:rPr>
          <w:rFonts w:ascii="Arial" w:hAnsi="Arial" w:cs="Arial"/>
          <w:b/>
          <w:sz w:val="20"/>
          <w:szCs w:val="26"/>
        </w:rPr>
      </w:pPr>
    </w:p>
    <w:p w:rsidRPr="004D78DF" w:rsidR="004D78DF" w:rsidP="00E7335D" w:rsidRDefault="004D78DF">
      <w:pPr>
        <w:ind w:left="284"/>
        <w:rPr>
          <w:rFonts w:ascii="Arial" w:hAnsi="Arial" w:cs="Arial"/>
          <w:b/>
          <w:sz w:val="26"/>
          <w:szCs w:val="26"/>
        </w:rPr>
      </w:pPr>
      <w:r w:rsidRPr="004D78DF">
        <w:rPr>
          <w:rFonts w:ascii="Arial" w:hAnsi="Arial" w:cs="Arial"/>
          <w:b/>
          <w:sz w:val="26"/>
          <w:szCs w:val="26"/>
        </w:rPr>
        <w:t>2.1</w:t>
      </w:r>
      <w:r w:rsidRPr="004D78DF">
        <w:rPr>
          <w:rFonts w:ascii="Arial" w:hAnsi="Arial" w:cs="Arial"/>
          <w:b/>
          <w:sz w:val="26"/>
          <w:szCs w:val="26"/>
        </w:rPr>
        <w:tab/>
      </w:r>
      <w:r w:rsidRPr="004D78DF">
        <w:rPr>
          <w:rFonts w:ascii="Arial" w:hAnsi="Arial" w:cs="Arial"/>
          <w:b/>
          <w:sz w:val="26"/>
          <w:szCs w:val="26"/>
        </w:rPr>
        <w:tab/>
      </w:r>
      <w:r w:rsidRPr="004D78DF">
        <w:rPr>
          <w:rFonts w:ascii="Arial" w:hAnsi="Arial" w:cs="Arial"/>
          <w:b/>
          <w:sz w:val="26"/>
          <w:szCs w:val="26"/>
          <w:u w:val="single"/>
        </w:rPr>
        <w:t>Background</w:t>
      </w:r>
    </w:p>
    <w:p w:rsidRPr="007A45D0" w:rsidR="004D78DF" w:rsidP="00E7335D" w:rsidRDefault="004D78DF">
      <w:pPr>
        <w:ind w:left="284"/>
        <w:rPr>
          <w:rFonts w:ascii="Arial" w:hAnsi="Arial" w:cs="Arial"/>
          <w:sz w:val="20"/>
          <w:szCs w:val="26"/>
        </w:rPr>
      </w:pPr>
    </w:p>
    <w:p w:rsidR="007A45D0" w:rsidP="00E7335D" w:rsidRDefault="00E0095B">
      <w:pPr>
        <w:ind w:left="284"/>
        <w:rPr>
          <w:rFonts w:ascii="Arial" w:hAnsi="Arial" w:cs="Arial"/>
          <w:sz w:val="26"/>
          <w:szCs w:val="26"/>
        </w:rPr>
      </w:pPr>
      <w:r>
        <w:rPr>
          <w:rFonts w:ascii="Arial" w:hAnsi="Arial" w:cs="Arial"/>
          <w:sz w:val="26"/>
          <w:szCs w:val="26"/>
        </w:rPr>
        <w:t xml:space="preserve">Local authorities’ Schools Block allocations </w:t>
      </w:r>
      <w:r w:rsidR="00445311">
        <w:rPr>
          <w:rFonts w:ascii="Arial" w:hAnsi="Arial" w:cs="Arial"/>
          <w:sz w:val="26"/>
          <w:szCs w:val="26"/>
        </w:rPr>
        <w:t xml:space="preserve">currently </w:t>
      </w:r>
      <w:r>
        <w:rPr>
          <w:rFonts w:ascii="Arial" w:hAnsi="Arial" w:cs="Arial"/>
          <w:sz w:val="26"/>
          <w:szCs w:val="26"/>
        </w:rPr>
        <w:t>include funding to reflect historic spending on supporting schools with increasing numbers of pupils</w:t>
      </w:r>
      <w:r w:rsidR="00445311">
        <w:rPr>
          <w:rFonts w:ascii="Arial" w:hAnsi="Arial" w:cs="Arial"/>
          <w:sz w:val="26"/>
          <w:szCs w:val="26"/>
        </w:rPr>
        <w:t xml:space="preserve"> and Key Stage 1 class size support</w:t>
      </w:r>
      <w:r>
        <w:rPr>
          <w:rFonts w:ascii="Arial" w:hAnsi="Arial" w:cs="Arial"/>
          <w:sz w:val="26"/>
          <w:szCs w:val="26"/>
        </w:rPr>
        <w:t>. The DfE are keen to move away from funding LAs on the basis of historic spend and have previously signalled their intention to formularise the allocations.</w:t>
      </w:r>
      <w:r w:rsidR="00A952EE">
        <w:rPr>
          <w:rFonts w:ascii="Arial" w:hAnsi="Arial" w:cs="Arial"/>
          <w:sz w:val="26"/>
          <w:szCs w:val="26"/>
        </w:rPr>
        <w:t xml:space="preserve">  </w:t>
      </w:r>
    </w:p>
    <w:p w:rsidRPr="007A45D0" w:rsidR="007A45D0" w:rsidP="00E7335D" w:rsidRDefault="007A45D0">
      <w:pPr>
        <w:ind w:left="284"/>
        <w:rPr>
          <w:rFonts w:ascii="Arial" w:hAnsi="Arial" w:cs="Arial"/>
          <w:sz w:val="20"/>
          <w:szCs w:val="26"/>
        </w:rPr>
      </w:pPr>
    </w:p>
    <w:p w:rsidR="00E0095B" w:rsidP="00E7335D" w:rsidRDefault="00E0095B">
      <w:pPr>
        <w:ind w:left="284"/>
        <w:rPr>
          <w:rFonts w:ascii="Arial" w:hAnsi="Arial" w:cs="Arial"/>
          <w:sz w:val="26"/>
          <w:szCs w:val="26"/>
        </w:rPr>
      </w:pPr>
      <w:r>
        <w:rPr>
          <w:rFonts w:ascii="Arial" w:hAnsi="Arial" w:cs="Arial"/>
          <w:sz w:val="26"/>
          <w:szCs w:val="26"/>
        </w:rPr>
        <w:t xml:space="preserve">In July </w:t>
      </w:r>
      <w:r w:rsidR="00C678F4">
        <w:rPr>
          <w:rFonts w:ascii="Arial" w:hAnsi="Arial" w:cs="Arial"/>
          <w:sz w:val="26"/>
          <w:szCs w:val="26"/>
        </w:rPr>
        <w:t xml:space="preserve">2018 </w:t>
      </w:r>
      <w:r>
        <w:rPr>
          <w:rFonts w:ascii="Arial" w:hAnsi="Arial" w:cs="Arial"/>
          <w:sz w:val="26"/>
          <w:szCs w:val="26"/>
        </w:rPr>
        <w:t xml:space="preserve">the DfE announced that from 2019-20 LA-level allocations would be based on the year on year increases in pupil numbers as measured at Middle Super Output </w:t>
      </w:r>
      <w:r w:rsidR="00C43375">
        <w:rPr>
          <w:rFonts w:ascii="Arial" w:hAnsi="Arial" w:cs="Arial"/>
          <w:sz w:val="26"/>
          <w:szCs w:val="26"/>
        </w:rPr>
        <w:t>A</w:t>
      </w:r>
      <w:r>
        <w:rPr>
          <w:rFonts w:ascii="Arial" w:hAnsi="Arial" w:cs="Arial"/>
          <w:sz w:val="26"/>
          <w:szCs w:val="26"/>
        </w:rPr>
        <w:t>rea</w:t>
      </w:r>
      <w:r w:rsidR="00C43375">
        <w:rPr>
          <w:rFonts w:ascii="Arial" w:hAnsi="Arial" w:cs="Arial"/>
          <w:sz w:val="26"/>
          <w:szCs w:val="26"/>
        </w:rPr>
        <w:t xml:space="preserve"> (MSOA)</w:t>
      </w:r>
      <w:r w:rsidR="00C678F4">
        <w:rPr>
          <w:rFonts w:ascii="Arial" w:hAnsi="Arial" w:cs="Arial"/>
          <w:sz w:val="26"/>
          <w:szCs w:val="26"/>
        </w:rPr>
        <w:t xml:space="preserve"> level</w:t>
      </w:r>
      <w:r w:rsidR="00BD0F25">
        <w:rPr>
          <w:rFonts w:ascii="Arial" w:hAnsi="Arial" w:cs="Arial"/>
          <w:sz w:val="26"/>
          <w:szCs w:val="26"/>
        </w:rPr>
        <w:t xml:space="preserve">: </w:t>
      </w:r>
      <w:r w:rsidR="00C678F4">
        <w:rPr>
          <w:rFonts w:ascii="Arial" w:hAnsi="Arial" w:cs="Arial"/>
          <w:sz w:val="26"/>
          <w:szCs w:val="26"/>
        </w:rPr>
        <w:t xml:space="preserve">net </w:t>
      </w:r>
      <w:r w:rsidR="00C43375">
        <w:rPr>
          <w:rFonts w:ascii="Arial" w:hAnsi="Arial" w:cs="Arial"/>
          <w:sz w:val="26"/>
          <w:szCs w:val="26"/>
        </w:rPr>
        <w:t xml:space="preserve">reductions at MSOA level would be ignored. </w:t>
      </w:r>
      <w:r>
        <w:rPr>
          <w:rFonts w:ascii="Arial" w:hAnsi="Arial" w:cs="Arial"/>
          <w:sz w:val="26"/>
          <w:szCs w:val="26"/>
        </w:rPr>
        <w:t>The allocations for 2019-20 w</w:t>
      </w:r>
      <w:r w:rsidR="00A952EE">
        <w:rPr>
          <w:rFonts w:ascii="Arial" w:hAnsi="Arial" w:cs="Arial"/>
          <w:sz w:val="26"/>
          <w:szCs w:val="26"/>
        </w:rPr>
        <w:t xml:space="preserve">ill </w:t>
      </w:r>
      <w:r>
        <w:rPr>
          <w:rFonts w:ascii="Arial" w:hAnsi="Arial" w:cs="Arial"/>
          <w:sz w:val="26"/>
          <w:szCs w:val="26"/>
        </w:rPr>
        <w:t>be based on the increases between October 2018 and</w:t>
      </w:r>
      <w:r w:rsidR="00C43375">
        <w:rPr>
          <w:rFonts w:ascii="Arial" w:hAnsi="Arial" w:cs="Arial"/>
          <w:sz w:val="26"/>
          <w:szCs w:val="26"/>
        </w:rPr>
        <w:t xml:space="preserve"> 2017 pupil census data with each additional primary pupil attracting £1,370 and each secondary pupil £2,050.</w:t>
      </w:r>
      <w:r w:rsidR="00A952EE">
        <w:rPr>
          <w:rFonts w:ascii="Arial" w:hAnsi="Arial" w:cs="Arial"/>
          <w:sz w:val="26"/>
          <w:szCs w:val="26"/>
        </w:rPr>
        <w:t xml:space="preserve"> In addition LAs will receive £65,000 for each new institution that is registered for the first time on the October </w:t>
      </w:r>
      <w:r w:rsidR="00445311">
        <w:rPr>
          <w:rFonts w:ascii="Arial" w:hAnsi="Arial" w:cs="Arial"/>
          <w:sz w:val="26"/>
          <w:szCs w:val="26"/>
        </w:rPr>
        <w:t xml:space="preserve">2018 </w:t>
      </w:r>
      <w:r w:rsidR="00A952EE">
        <w:rPr>
          <w:rFonts w:ascii="Arial" w:hAnsi="Arial" w:cs="Arial"/>
          <w:sz w:val="26"/>
          <w:szCs w:val="26"/>
        </w:rPr>
        <w:t xml:space="preserve">census. This </w:t>
      </w:r>
      <w:r w:rsidR="00C678F4">
        <w:rPr>
          <w:rFonts w:ascii="Arial" w:hAnsi="Arial" w:cs="Arial"/>
          <w:sz w:val="26"/>
          <w:szCs w:val="26"/>
        </w:rPr>
        <w:t xml:space="preserve">will not </w:t>
      </w:r>
      <w:r w:rsidR="00A952EE">
        <w:rPr>
          <w:rFonts w:ascii="Arial" w:hAnsi="Arial" w:cs="Arial"/>
          <w:sz w:val="26"/>
          <w:szCs w:val="26"/>
        </w:rPr>
        <w:t xml:space="preserve">become relevant in Derbyshire </w:t>
      </w:r>
      <w:r w:rsidR="00C678F4">
        <w:rPr>
          <w:rFonts w:ascii="Arial" w:hAnsi="Arial" w:cs="Arial"/>
          <w:sz w:val="26"/>
          <w:szCs w:val="26"/>
        </w:rPr>
        <w:t xml:space="preserve">until </w:t>
      </w:r>
      <w:r w:rsidR="00A952EE">
        <w:rPr>
          <w:rFonts w:ascii="Arial" w:hAnsi="Arial" w:cs="Arial"/>
          <w:sz w:val="26"/>
          <w:szCs w:val="26"/>
        </w:rPr>
        <w:t>2020-21 when the new schools at The Mease</w:t>
      </w:r>
      <w:r w:rsidR="00C678F4">
        <w:rPr>
          <w:rFonts w:ascii="Arial" w:hAnsi="Arial" w:cs="Arial"/>
          <w:sz w:val="26"/>
          <w:szCs w:val="26"/>
        </w:rPr>
        <w:t xml:space="preserve"> (</w:t>
      </w:r>
      <w:r w:rsidR="00A952EE">
        <w:rPr>
          <w:rFonts w:ascii="Arial" w:hAnsi="Arial" w:cs="Arial"/>
          <w:sz w:val="26"/>
          <w:szCs w:val="26"/>
        </w:rPr>
        <w:t>Hilton</w:t>
      </w:r>
      <w:r w:rsidR="00C678F4">
        <w:rPr>
          <w:rFonts w:ascii="Arial" w:hAnsi="Arial" w:cs="Arial"/>
          <w:sz w:val="26"/>
          <w:szCs w:val="26"/>
        </w:rPr>
        <w:t xml:space="preserve">) </w:t>
      </w:r>
      <w:r w:rsidR="00A952EE">
        <w:rPr>
          <w:rFonts w:ascii="Arial" w:hAnsi="Arial" w:cs="Arial"/>
          <w:sz w:val="26"/>
          <w:szCs w:val="26"/>
        </w:rPr>
        <w:t>and Chellaston open in September 2019.</w:t>
      </w:r>
    </w:p>
    <w:p w:rsidRPr="00966E62" w:rsidR="00E0095B" w:rsidP="00E7335D" w:rsidRDefault="00E0095B">
      <w:pPr>
        <w:ind w:left="284"/>
        <w:rPr>
          <w:rFonts w:ascii="Arial" w:hAnsi="Arial" w:cs="Arial"/>
          <w:sz w:val="22"/>
          <w:szCs w:val="26"/>
        </w:rPr>
      </w:pPr>
    </w:p>
    <w:p w:rsidR="00BE4044" w:rsidP="00E7335D" w:rsidRDefault="007A45D0">
      <w:pPr>
        <w:ind w:left="284"/>
        <w:rPr>
          <w:rFonts w:ascii="Arial" w:hAnsi="Arial" w:cs="Arial"/>
          <w:sz w:val="26"/>
          <w:szCs w:val="26"/>
        </w:rPr>
      </w:pPr>
      <w:r>
        <w:rPr>
          <w:rFonts w:ascii="Arial" w:hAnsi="Arial" w:cs="Arial"/>
          <w:sz w:val="26"/>
          <w:szCs w:val="26"/>
        </w:rPr>
        <w:t>As t</w:t>
      </w:r>
      <w:r w:rsidR="00C43375">
        <w:rPr>
          <w:rFonts w:ascii="Arial" w:hAnsi="Arial" w:cs="Arial"/>
          <w:sz w:val="26"/>
          <w:szCs w:val="26"/>
        </w:rPr>
        <w:t xml:space="preserve">he October 2018 pupil census data will not be available for some time the DfE have provided a template to enable LAs to calculate their own estimates of growth funding </w:t>
      </w:r>
      <w:r w:rsidR="00C678F4">
        <w:rPr>
          <w:rFonts w:ascii="Arial" w:hAnsi="Arial" w:cs="Arial"/>
          <w:sz w:val="26"/>
          <w:szCs w:val="26"/>
        </w:rPr>
        <w:t xml:space="preserve">using </w:t>
      </w:r>
      <w:r w:rsidR="00611AE3">
        <w:rPr>
          <w:rFonts w:ascii="Arial" w:hAnsi="Arial" w:cs="Arial"/>
          <w:sz w:val="26"/>
          <w:szCs w:val="26"/>
        </w:rPr>
        <w:t xml:space="preserve">their </w:t>
      </w:r>
      <w:r w:rsidR="00C43375">
        <w:rPr>
          <w:rFonts w:ascii="Arial" w:hAnsi="Arial" w:cs="Arial"/>
          <w:sz w:val="26"/>
          <w:szCs w:val="26"/>
        </w:rPr>
        <w:t xml:space="preserve">own forecast pupil numbers. Appendix 1 shows the estimated increases </w:t>
      </w:r>
      <w:r w:rsidR="00C678F4">
        <w:rPr>
          <w:rFonts w:ascii="Arial" w:hAnsi="Arial" w:cs="Arial"/>
          <w:sz w:val="26"/>
          <w:szCs w:val="26"/>
        </w:rPr>
        <w:t xml:space="preserve">by </w:t>
      </w:r>
      <w:r w:rsidR="00C43375">
        <w:rPr>
          <w:rFonts w:ascii="Arial" w:hAnsi="Arial" w:cs="Arial"/>
          <w:sz w:val="26"/>
          <w:szCs w:val="26"/>
        </w:rPr>
        <w:t>MSOA in Derbyshire between these two data points.</w:t>
      </w:r>
      <w:r w:rsidR="00A952EE">
        <w:rPr>
          <w:rFonts w:ascii="Arial" w:hAnsi="Arial" w:cs="Arial"/>
          <w:sz w:val="26"/>
          <w:szCs w:val="26"/>
        </w:rPr>
        <w:t xml:space="preserve">  </w:t>
      </w:r>
      <w:r w:rsidR="009C3F70">
        <w:rPr>
          <w:rFonts w:ascii="Arial" w:hAnsi="Arial" w:cs="Arial"/>
          <w:sz w:val="26"/>
          <w:szCs w:val="26"/>
        </w:rPr>
        <w:t xml:space="preserve">Individual LA 2019-20 allocations will be a combination of </w:t>
      </w:r>
      <w:r w:rsidR="00BE4044">
        <w:rPr>
          <w:rFonts w:ascii="Arial" w:hAnsi="Arial" w:cs="Arial"/>
          <w:sz w:val="26"/>
          <w:szCs w:val="26"/>
        </w:rPr>
        <w:t xml:space="preserve">both </w:t>
      </w:r>
      <w:r w:rsidR="009C3F70">
        <w:rPr>
          <w:rFonts w:ascii="Arial" w:hAnsi="Arial" w:cs="Arial"/>
          <w:sz w:val="26"/>
          <w:szCs w:val="26"/>
        </w:rPr>
        <w:t xml:space="preserve">historic </w:t>
      </w:r>
      <w:r w:rsidR="00BE4044">
        <w:rPr>
          <w:rFonts w:ascii="Arial" w:hAnsi="Arial" w:cs="Arial"/>
          <w:sz w:val="26"/>
          <w:szCs w:val="26"/>
        </w:rPr>
        <w:t xml:space="preserve">and formulaic allocations. The </w:t>
      </w:r>
      <w:r w:rsidR="00445311">
        <w:rPr>
          <w:rFonts w:ascii="Arial" w:hAnsi="Arial" w:cs="Arial"/>
          <w:sz w:val="26"/>
          <w:szCs w:val="26"/>
        </w:rPr>
        <w:t>estimated c</w:t>
      </w:r>
      <w:r w:rsidR="00BE4044">
        <w:rPr>
          <w:rFonts w:ascii="Arial" w:hAnsi="Arial" w:cs="Arial"/>
          <w:sz w:val="26"/>
          <w:szCs w:val="26"/>
        </w:rPr>
        <w:t>alculation for Derbyshire is shown below:</w:t>
      </w:r>
    </w:p>
    <w:p w:rsidRPr="004D78DF" w:rsidR="00BE4044" w:rsidP="00E7335D" w:rsidRDefault="00BE4044">
      <w:pPr>
        <w:ind w:left="284"/>
        <w:rPr>
          <w:rFonts w:ascii="Arial" w:hAnsi="Arial" w:cs="Arial"/>
          <w:sz w:val="16"/>
          <w:szCs w:val="26"/>
        </w:rPr>
      </w:pPr>
    </w:p>
    <w:tbl>
      <w:tblPr>
        <w:tblStyle w:val="TableGrid"/>
        <w:tblW w:w="0" w:type="auto"/>
        <w:tblInd w:w="284" w:type="dxa"/>
        <w:tblLook w:val="04A0" w:firstRow="1" w:lastRow="0" w:firstColumn="1" w:lastColumn="0" w:noHBand="0" w:noVBand="1"/>
      </w:tblPr>
      <w:tblGrid>
        <w:gridCol w:w="3680"/>
        <w:gridCol w:w="1214"/>
        <w:gridCol w:w="1196"/>
        <w:gridCol w:w="1802"/>
        <w:gridCol w:w="1316"/>
      </w:tblGrid>
      <w:tr w:rsidR="00BE4044" w:rsidTr="00A952EE">
        <w:tc>
          <w:tcPr>
            <w:tcW w:w="3680" w:type="dxa"/>
          </w:tcPr>
          <w:p w:rsidR="00BE4044" w:rsidP="00CE3D68" w:rsidRDefault="00BE4044">
            <w:pPr>
              <w:rPr>
                <w:rFonts w:ascii="Arial" w:hAnsi="Arial" w:cs="Arial"/>
                <w:sz w:val="26"/>
                <w:szCs w:val="26"/>
              </w:rPr>
            </w:pPr>
          </w:p>
        </w:tc>
        <w:tc>
          <w:tcPr>
            <w:tcW w:w="1214" w:type="dxa"/>
          </w:tcPr>
          <w:p w:rsidR="00BE4044" w:rsidP="00BE4044" w:rsidRDefault="00BE4044">
            <w:pPr>
              <w:jc w:val="right"/>
              <w:rPr>
                <w:rFonts w:ascii="Arial" w:hAnsi="Arial" w:cs="Arial"/>
                <w:sz w:val="26"/>
                <w:szCs w:val="26"/>
              </w:rPr>
            </w:pPr>
            <w:r>
              <w:rPr>
                <w:rFonts w:ascii="Arial" w:hAnsi="Arial" w:cs="Arial"/>
                <w:sz w:val="26"/>
                <w:szCs w:val="26"/>
              </w:rPr>
              <w:t>Pupil Increase</w:t>
            </w:r>
          </w:p>
        </w:tc>
        <w:tc>
          <w:tcPr>
            <w:tcW w:w="1196" w:type="dxa"/>
          </w:tcPr>
          <w:p w:rsidR="00BE4044" w:rsidP="00BE4044" w:rsidRDefault="00BE4044">
            <w:pPr>
              <w:jc w:val="right"/>
              <w:rPr>
                <w:rFonts w:ascii="Arial" w:hAnsi="Arial" w:cs="Arial"/>
                <w:sz w:val="26"/>
                <w:szCs w:val="26"/>
              </w:rPr>
            </w:pPr>
            <w:r>
              <w:rPr>
                <w:rFonts w:ascii="Arial" w:hAnsi="Arial" w:cs="Arial"/>
                <w:sz w:val="26"/>
                <w:szCs w:val="26"/>
              </w:rPr>
              <w:t>2019-20</w:t>
            </w:r>
          </w:p>
          <w:p w:rsidR="00BE4044" w:rsidP="00BE4044" w:rsidRDefault="00BE4044">
            <w:pPr>
              <w:jc w:val="right"/>
              <w:rPr>
                <w:rFonts w:ascii="Arial" w:hAnsi="Arial" w:cs="Arial"/>
                <w:sz w:val="26"/>
                <w:szCs w:val="26"/>
              </w:rPr>
            </w:pPr>
            <w:r>
              <w:rPr>
                <w:rFonts w:ascii="Arial" w:hAnsi="Arial" w:cs="Arial"/>
                <w:sz w:val="26"/>
                <w:szCs w:val="26"/>
              </w:rPr>
              <w:t>Rate</w:t>
            </w:r>
          </w:p>
        </w:tc>
        <w:tc>
          <w:tcPr>
            <w:tcW w:w="1802" w:type="dxa"/>
          </w:tcPr>
          <w:p w:rsidR="00BE4044" w:rsidP="00966E62" w:rsidRDefault="00966E62">
            <w:pPr>
              <w:jc w:val="right"/>
              <w:rPr>
                <w:rFonts w:ascii="Arial" w:hAnsi="Arial" w:cs="Arial"/>
                <w:sz w:val="26"/>
                <w:szCs w:val="26"/>
              </w:rPr>
            </w:pPr>
            <w:r>
              <w:rPr>
                <w:rFonts w:ascii="Arial" w:hAnsi="Arial" w:cs="Arial"/>
                <w:sz w:val="26"/>
                <w:szCs w:val="26"/>
              </w:rPr>
              <w:t>P</w:t>
            </w:r>
            <w:r w:rsidR="00BE4044">
              <w:rPr>
                <w:rFonts w:ascii="Arial" w:hAnsi="Arial" w:cs="Arial"/>
                <w:sz w:val="26"/>
                <w:szCs w:val="26"/>
              </w:rPr>
              <w:t>upil growth</w:t>
            </w:r>
            <w:r>
              <w:rPr>
                <w:rFonts w:ascii="Arial" w:hAnsi="Arial" w:cs="Arial"/>
                <w:sz w:val="26"/>
                <w:szCs w:val="26"/>
              </w:rPr>
              <w:t xml:space="preserve"> funding</w:t>
            </w:r>
          </w:p>
        </w:tc>
        <w:tc>
          <w:tcPr>
            <w:tcW w:w="1316" w:type="dxa"/>
          </w:tcPr>
          <w:p w:rsidR="00BE4044" w:rsidP="00BE4044" w:rsidRDefault="00BE4044">
            <w:pPr>
              <w:jc w:val="center"/>
              <w:rPr>
                <w:rFonts w:ascii="Arial" w:hAnsi="Arial" w:cs="Arial"/>
                <w:sz w:val="26"/>
                <w:szCs w:val="26"/>
              </w:rPr>
            </w:pPr>
          </w:p>
        </w:tc>
      </w:tr>
      <w:tr w:rsidR="00BE4044" w:rsidTr="00A952EE">
        <w:tc>
          <w:tcPr>
            <w:tcW w:w="3680" w:type="dxa"/>
          </w:tcPr>
          <w:p w:rsidR="00BE4044" w:rsidP="00CE3D68" w:rsidRDefault="00BE4044">
            <w:pPr>
              <w:rPr>
                <w:rFonts w:ascii="Arial" w:hAnsi="Arial" w:cs="Arial"/>
                <w:sz w:val="26"/>
                <w:szCs w:val="26"/>
              </w:rPr>
            </w:pPr>
            <w:r>
              <w:rPr>
                <w:rFonts w:ascii="Arial" w:hAnsi="Arial" w:cs="Arial"/>
                <w:sz w:val="26"/>
                <w:szCs w:val="26"/>
              </w:rPr>
              <w:t>Primary</w:t>
            </w:r>
          </w:p>
        </w:tc>
        <w:tc>
          <w:tcPr>
            <w:tcW w:w="1214" w:type="dxa"/>
          </w:tcPr>
          <w:p w:rsidR="00BE4044" w:rsidP="00BE4044" w:rsidRDefault="00BE4044">
            <w:pPr>
              <w:jc w:val="right"/>
              <w:rPr>
                <w:rFonts w:ascii="Arial" w:hAnsi="Arial" w:cs="Arial"/>
                <w:sz w:val="26"/>
                <w:szCs w:val="26"/>
              </w:rPr>
            </w:pPr>
            <w:r>
              <w:rPr>
                <w:rFonts w:ascii="Arial" w:hAnsi="Arial" w:cs="Arial"/>
                <w:sz w:val="26"/>
                <w:szCs w:val="26"/>
              </w:rPr>
              <w:t>526</w:t>
            </w:r>
          </w:p>
        </w:tc>
        <w:tc>
          <w:tcPr>
            <w:tcW w:w="1196" w:type="dxa"/>
          </w:tcPr>
          <w:p w:rsidR="00BE4044" w:rsidP="00BE4044" w:rsidRDefault="00BE4044">
            <w:pPr>
              <w:jc w:val="right"/>
              <w:rPr>
                <w:rFonts w:ascii="Arial" w:hAnsi="Arial" w:cs="Arial"/>
                <w:sz w:val="26"/>
                <w:szCs w:val="26"/>
              </w:rPr>
            </w:pPr>
            <w:r>
              <w:rPr>
                <w:rFonts w:ascii="Arial" w:hAnsi="Arial" w:cs="Arial"/>
                <w:sz w:val="26"/>
                <w:szCs w:val="26"/>
              </w:rPr>
              <w:t>£1,370</w:t>
            </w:r>
          </w:p>
        </w:tc>
        <w:tc>
          <w:tcPr>
            <w:tcW w:w="1802" w:type="dxa"/>
          </w:tcPr>
          <w:p w:rsidR="00BE4044" w:rsidP="00BE4044" w:rsidRDefault="00BE4044">
            <w:pPr>
              <w:jc w:val="right"/>
              <w:rPr>
                <w:rFonts w:ascii="Arial" w:hAnsi="Arial" w:cs="Arial"/>
                <w:sz w:val="26"/>
                <w:szCs w:val="26"/>
              </w:rPr>
            </w:pPr>
            <w:r>
              <w:rPr>
                <w:rFonts w:ascii="Arial" w:hAnsi="Arial" w:cs="Arial"/>
                <w:sz w:val="26"/>
                <w:szCs w:val="26"/>
              </w:rPr>
              <w:t>£720,620</w:t>
            </w:r>
          </w:p>
        </w:tc>
        <w:tc>
          <w:tcPr>
            <w:tcW w:w="1316" w:type="dxa"/>
          </w:tcPr>
          <w:p w:rsidR="00BE4044" w:rsidP="00BE4044" w:rsidRDefault="00BE4044">
            <w:pPr>
              <w:jc w:val="center"/>
              <w:rPr>
                <w:rFonts w:ascii="Arial" w:hAnsi="Arial" w:cs="Arial"/>
                <w:sz w:val="26"/>
                <w:szCs w:val="26"/>
              </w:rPr>
            </w:pPr>
          </w:p>
        </w:tc>
      </w:tr>
      <w:tr w:rsidR="00BE4044" w:rsidTr="00A952EE">
        <w:tc>
          <w:tcPr>
            <w:tcW w:w="3680" w:type="dxa"/>
          </w:tcPr>
          <w:p w:rsidR="00BE4044" w:rsidP="00CE3D68" w:rsidRDefault="00BE4044">
            <w:pPr>
              <w:rPr>
                <w:rFonts w:ascii="Arial" w:hAnsi="Arial" w:cs="Arial"/>
                <w:sz w:val="26"/>
                <w:szCs w:val="26"/>
              </w:rPr>
            </w:pPr>
            <w:r>
              <w:rPr>
                <w:rFonts w:ascii="Arial" w:hAnsi="Arial" w:cs="Arial"/>
                <w:sz w:val="26"/>
                <w:szCs w:val="26"/>
              </w:rPr>
              <w:t>Secondary</w:t>
            </w:r>
          </w:p>
        </w:tc>
        <w:tc>
          <w:tcPr>
            <w:tcW w:w="1214" w:type="dxa"/>
          </w:tcPr>
          <w:p w:rsidR="00BE4044" w:rsidP="00BE4044" w:rsidRDefault="00BE4044">
            <w:pPr>
              <w:jc w:val="right"/>
              <w:rPr>
                <w:rFonts w:ascii="Arial" w:hAnsi="Arial" w:cs="Arial"/>
                <w:sz w:val="26"/>
                <w:szCs w:val="26"/>
              </w:rPr>
            </w:pPr>
            <w:r>
              <w:rPr>
                <w:rFonts w:ascii="Arial" w:hAnsi="Arial" w:cs="Arial"/>
                <w:sz w:val="26"/>
                <w:szCs w:val="26"/>
              </w:rPr>
              <w:t>1,259</w:t>
            </w:r>
          </w:p>
        </w:tc>
        <w:tc>
          <w:tcPr>
            <w:tcW w:w="1196" w:type="dxa"/>
          </w:tcPr>
          <w:p w:rsidR="00BE4044" w:rsidP="00BE4044" w:rsidRDefault="00BE4044">
            <w:pPr>
              <w:jc w:val="right"/>
              <w:rPr>
                <w:rFonts w:ascii="Arial" w:hAnsi="Arial" w:cs="Arial"/>
                <w:sz w:val="26"/>
                <w:szCs w:val="26"/>
              </w:rPr>
            </w:pPr>
            <w:r>
              <w:rPr>
                <w:rFonts w:ascii="Arial" w:hAnsi="Arial" w:cs="Arial"/>
                <w:sz w:val="26"/>
                <w:szCs w:val="26"/>
              </w:rPr>
              <w:t>£2,050</w:t>
            </w:r>
          </w:p>
        </w:tc>
        <w:tc>
          <w:tcPr>
            <w:tcW w:w="1802" w:type="dxa"/>
          </w:tcPr>
          <w:p w:rsidR="00BE4044" w:rsidP="00BE4044" w:rsidRDefault="00BE4044">
            <w:pPr>
              <w:jc w:val="right"/>
              <w:rPr>
                <w:rFonts w:ascii="Arial" w:hAnsi="Arial" w:cs="Arial"/>
                <w:sz w:val="26"/>
                <w:szCs w:val="26"/>
              </w:rPr>
            </w:pPr>
            <w:r>
              <w:rPr>
                <w:rFonts w:ascii="Arial" w:hAnsi="Arial" w:cs="Arial"/>
                <w:sz w:val="26"/>
                <w:szCs w:val="26"/>
              </w:rPr>
              <w:t>£2,579,925</w:t>
            </w:r>
          </w:p>
        </w:tc>
        <w:tc>
          <w:tcPr>
            <w:tcW w:w="1316" w:type="dxa"/>
          </w:tcPr>
          <w:p w:rsidR="00BE4044" w:rsidP="00BE4044" w:rsidRDefault="00BE4044">
            <w:pPr>
              <w:jc w:val="center"/>
              <w:rPr>
                <w:rFonts w:ascii="Arial" w:hAnsi="Arial" w:cs="Arial"/>
                <w:sz w:val="26"/>
                <w:szCs w:val="26"/>
              </w:rPr>
            </w:pPr>
          </w:p>
        </w:tc>
      </w:tr>
      <w:tr w:rsidR="00BE4044" w:rsidTr="00A952EE">
        <w:tc>
          <w:tcPr>
            <w:tcW w:w="3680" w:type="dxa"/>
          </w:tcPr>
          <w:p w:rsidR="00BE4044" w:rsidP="00CE3D68" w:rsidRDefault="00BE4044">
            <w:pPr>
              <w:rPr>
                <w:rFonts w:ascii="Arial" w:hAnsi="Arial" w:cs="Arial"/>
                <w:sz w:val="26"/>
                <w:szCs w:val="26"/>
              </w:rPr>
            </w:pPr>
            <w:r>
              <w:rPr>
                <w:rFonts w:ascii="Arial" w:hAnsi="Arial" w:cs="Arial"/>
                <w:sz w:val="26"/>
                <w:szCs w:val="26"/>
              </w:rPr>
              <w:t>Sub total</w:t>
            </w:r>
          </w:p>
        </w:tc>
        <w:tc>
          <w:tcPr>
            <w:tcW w:w="1214" w:type="dxa"/>
          </w:tcPr>
          <w:p w:rsidR="00BE4044" w:rsidP="00BE4044" w:rsidRDefault="00BE4044">
            <w:pPr>
              <w:jc w:val="right"/>
              <w:rPr>
                <w:rFonts w:ascii="Arial" w:hAnsi="Arial" w:cs="Arial"/>
                <w:sz w:val="26"/>
                <w:szCs w:val="26"/>
              </w:rPr>
            </w:pPr>
          </w:p>
        </w:tc>
        <w:tc>
          <w:tcPr>
            <w:tcW w:w="1196" w:type="dxa"/>
          </w:tcPr>
          <w:p w:rsidR="00BE4044" w:rsidP="00BE4044" w:rsidRDefault="00BE4044">
            <w:pPr>
              <w:jc w:val="right"/>
              <w:rPr>
                <w:rFonts w:ascii="Arial" w:hAnsi="Arial" w:cs="Arial"/>
                <w:sz w:val="26"/>
                <w:szCs w:val="26"/>
              </w:rPr>
            </w:pPr>
          </w:p>
        </w:tc>
        <w:tc>
          <w:tcPr>
            <w:tcW w:w="1802" w:type="dxa"/>
          </w:tcPr>
          <w:p w:rsidR="00BE4044" w:rsidP="00BE4044" w:rsidRDefault="00BE4044">
            <w:pPr>
              <w:jc w:val="right"/>
              <w:rPr>
                <w:rFonts w:ascii="Arial" w:hAnsi="Arial" w:cs="Arial"/>
                <w:sz w:val="26"/>
                <w:szCs w:val="26"/>
              </w:rPr>
            </w:pPr>
            <w:r>
              <w:rPr>
                <w:rFonts w:ascii="Arial" w:hAnsi="Arial" w:cs="Arial"/>
                <w:sz w:val="26"/>
                <w:szCs w:val="26"/>
              </w:rPr>
              <w:t>£3,300,545</w:t>
            </w:r>
          </w:p>
        </w:tc>
        <w:tc>
          <w:tcPr>
            <w:tcW w:w="1316" w:type="dxa"/>
          </w:tcPr>
          <w:p w:rsidR="00BE4044" w:rsidP="00BE4044" w:rsidRDefault="00BE4044">
            <w:pPr>
              <w:jc w:val="center"/>
              <w:rPr>
                <w:rFonts w:ascii="Arial" w:hAnsi="Arial" w:cs="Arial"/>
                <w:sz w:val="26"/>
                <w:szCs w:val="26"/>
              </w:rPr>
            </w:pPr>
            <w:r>
              <w:rPr>
                <w:rFonts w:ascii="Arial" w:hAnsi="Arial" w:cs="Arial"/>
                <w:sz w:val="26"/>
                <w:szCs w:val="26"/>
              </w:rPr>
              <w:t>A</w:t>
            </w:r>
          </w:p>
        </w:tc>
      </w:tr>
      <w:tr w:rsidR="00BE4044" w:rsidTr="00A952EE">
        <w:tc>
          <w:tcPr>
            <w:tcW w:w="3680" w:type="dxa"/>
          </w:tcPr>
          <w:p w:rsidR="00BE4044" w:rsidP="00CE3D68" w:rsidRDefault="00BE4044">
            <w:pPr>
              <w:rPr>
                <w:rFonts w:ascii="Arial" w:hAnsi="Arial" w:cs="Arial"/>
                <w:sz w:val="26"/>
                <w:szCs w:val="26"/>
              </w:rPr>
            </w:pPr>
            <w:r>
              <w:rPr>
                <w:rFonts w:ascii="Arial" w:hAnsi="Arial" w:cs="Arial"/>
                <w:sz w:val="26"/>
                <w:szCs w:val="26"/>
              </w:rPr>
              <w:t>Actual 2018-19</w:t>
            </w:r>
          </w:p>
        </w:tc>
        <w:tc>
          <w:tcPr>
            <w:tcW w:w="1214" w:type="dxa"/>
          </w:tcPr>
          <w:p w:rsidR="00BE4044" w:rsidP="00BE4044" w:rsidRDefault="00BE4044">
            <w:pPr>
              <w:jc w:val="right"/>
              <w:rPr>
                <w:rFonts w:ascii="Arial" w:hAnsi="Arial" w:cs="Arial"/>
                <w:sz w:val="26"/>
                <w:szCs w:val="26"/>
              </w:rPr>
            </w:pPr>
          </w:p>
        </w:tc>
        <w:tc>
          <w:tcPr>
            <w:tcW w:w="1196" w:type="dxa"/>
          </w:tcPr>
          <w:p w:rsidR="00BE4044" w:rsidP="00BE4044" w:rsidRDefault="00BE4044">
            <w:pPr>
              <w:jc w:val="right"/>
              <w:rPr>
                <w:rFonts w:ascii="Arial" w:hAnsi="Arial" w:cs="Arial"/>
                <w:sz w:val="26"/>
                <w:szCs w:val="26"/>
              </w:rPr>
            </w:pPr>
          </w:p>
        </w:tc>
        <w:tc>
          <w:tcPr>
            <w:tcW w:w="1802" w:type="dxa"/>
          </w:tcPr>
          <w:p w:rsidR="00BE4044" w:rsidP="00BE4044" w:rsidRDefault="00BE4044">
            <w:pPr>
              <w:jc w:val="right"/>
              <w:rPr>
                <w:rFonts w:ascii="Arial" w:hAnsi="Arial" w:cs="Arial"/>
                <w:sz w:val="26"/>
                <w:szCs w:val="26"/>
              </w:rPr>
            </w:pPr>
            <w:r>
              <w:rPr>
                <w:rFonts w:ascii="Arial" w:hAnsi="Arial" w:cs="Arial"/>
                <w:sz w:val="26"/>
                <w:szCs w:val="26"/>
              </w:rPr>
              <w:t>£1,100,000</w:t>
            </w:r>
          </w:p>
        </w:tc>
        <w:tc>
          <w:tcPr>
            <w:tcW w:w="1316" w:type="dxa"/>
          </w:tcPr>
          <w:p w:rsidR="00BE4044" w:rsidP="00BE4044" w:rsidRDefault="00BE4044">
            <w:pPr>
              <w:jc w:val="center"/>
              <w:rPr>
                <w:rFonts w:ascii="Arial" w:hAnsi="Arial" w:cs="Arial"/>
                <w:sz w:val="26"/>
                <w:szCs w:val="26"/>
              </w:rPr>
            </w:pPr>
            <w:r>
              <w:rPr>
                <w:rFonts w:ascii="Arial" w:hAnsi="Arial" w:cs="Arial"/>
                <w:sz w:val="26"/>
                <w:szCs w:val="26"/>
              </w:rPr>
              <w:t>B</w:t>
            </w:r>
          </w:p>
        </w:tc>
      </w:tr>
      <w:tr w:rsidR="00BE4044" w:rsidTr="00A952EE">
        <w:tc>
          <w:tcPr>
            <w:tcW w:w="3680" w:type="dxa"/>
          </w:tcPr>
          <w:p w:rsidR="00BE4044" w:rsidP="00CE3D68" w:rsidRDefault="00BE4044">
            <w:pPr>
              <w:rPr>
                <w:rFonts w:ascii="Arial" w:hAnsi="Arial" w:cs="Arial"/>
                <w:sz w:val="26"/>
                <w:szCs w:val="26"/>
              </w:rPr>
            </w:pPr>
            <w:r>
              <w:rPr>
                <w:rFonts w:ascii="Arial" w:hAnsi="Arial" w:cs="Arial"/>
                <w:sz w:val="26"/>
                <w:szCs w:val="26"/>
              </w:rPr>
              <w:t>Gross gain</w:t>
            </w:r>
          </w:p>
        </w:tc>
        <w:tc>
          <w:tcPr>
            <w:tcW w:w="1214" w:type="dxa"/>
          </w:tcPr>
          <w:p w:rsidR="00BE4044" w:rsidP="00BE4044" w:rsidRDefault="00BE4044">
            <w:pPr>
              <w:jc w:val="right"/>
              <w:rPr>
                <w:rFonts w:ascii="Arial" w:hAnsi="Arial" w:cs="Arial"/>
                <w:sz w:val="26"/>
                <w:szCs w:val="26"/>
              </w:rPr>
            </w:pPr>
          </w:p>
        </w:tc>
        <w:tc>
          <w:tcPr>
            <w:tcW w:w="1196" w:type="dxa"/>
          </w:tcPr>
          <w:p w:rsidR="00BE4044" w:rsidP="00BE4044" w:rsidRDefault="00BE4044">
            <w:pPr>
              <w:jc w:val="right"/>
              <w:rPr>
                <w:rFonts w:ascii="Arial" w:hAnsi="Arial" w:cs="Arial"/>
                <w:sz w:val="26"/>
                <w:szCs w:val="26"/>
              </w:rPr>
            </w:pPr>
          </w:p>
        </w:tc>
        <w:tc>
          <w:tcPr>
            <w:tcW w:w="1802" w:type="dxa"/>
          </w:tcPr>
          <w:p w:rsidR="00BE4044" w:rsidP="00BE4044" w:rsidRDefault="00BE4044">
            <w:pPr>
              <w:jc w:val="right"/>
              <w:rPr>
                <w:rFonts w:ascii="Arial" w:hAnsi="Arial" w:cs="Arial"/>
                <w:sz w:val="26"/>
                <w:szCs w:val="26"/>
              </w:rPr>
            </w:pPr>
            <w:r>
              <w:rPr>
                <w:rFonts w:ascii="Arial" w:hAnsi="Arial" w:cs="Arial"/>
                <w:sz w:val="26"/>
                <w:szCs w:val="26"/>
              </w:rPr>
              <w:t>£2,200,545</w:t>
            </w:r>
          </w:p>
        </w:tc>
        <w:tc>
          <w:tcPr>
            <w:tcW w:w="1316" w:type="dxa"/>
          </w:tcPr>
          <w:p w:rsidR="00BE4044" w:rsidP="00BE4044" w:rsidRDefault="00BE4044">
            <w:pPr>
              <w:jc w:val="center"/>
              <w:rPr>
                <w:rFonts w:ascii="Arial" w:hAnsi="Arial" w:cs="Arial"/>
                <w:sz w:val="26"/>
                <w:szCs w:val="26"/>
              </w:rPr>
            </w:pPr>
            <w:r>
              <w:rPr>
                <w:rFonts w:ascii="Arial" w:hAnsi="Arial" w:cs="Arial"/>
                <w:sz w:val="26"/>
                <w:szCs w:val="26"/>
              </w:rPr>
              <w:t>C=A-B</w:t>
            </w:r>
          </w:p>
        </w:tc>
      </w:tr>
      <w:tr w:rsidR="00A952EE" w:rsidTr="004D78DF">
        <w:trPr>
          <w:trHeight w:val="113" w:hRule="exact"/>
        </w:trPr>
        <w:tc>
          <w:tcPr>
            <w:tcW w:w="3680" w:type="dxa"/>
            <w:shd w:val="clear" w:color="auto" w:fill="A6A6A6" w:themeFill="background1" w:themeFillShade="A6"/>
          </w:tcPr>
          <w:p w:rsidRPr="004D78DF" w:rsidR="00A952EE" w:rsidP="00CE3D68" w:rsidRDefault="00A952EE">
            <w:pPr>
              <w:rPr>
                <w:rFonts w:ascii="Arial" w:hAnsi="Arial" w:cs="Arial"/>
                <w:b/>
                <w:sz w:val="26"/>
                <w:szCs w:val="26"/>
              </w:rPr>
            </w:pPr>
          </w:p>
        </w:tc>
        <w:tc>
          <w:tcPr>
            <w:tcW w:w="1214" w:type="dxa"/>
            <w:shd w:val="clear" w:color="auto" w:fill="A6A6A6" w:themeFill="background1" w:themeFillShade="A6"/>
          </w:tcPr>
          <w:p w:rsidR="00A952EE" w:rsidP="00BE4044" w:rsidRDefault="00A952EE">
            <w:pPr>
              <w:jc w:val="right"/>
              <w:rPr>
                <w:rFonts w:ascii="Arial" w:hAnsi="Arial" w:cs="Arial"/>
                <w:sz w:val="26"/>
                <w:szCs w:val="26"/>
              </w:rPr>
            </w:pPr>
          </w:p>
        </w:tc>
        <w:tc>
          <w:tcPr>
            <w:tcW w:w="1196" w:type="dxa"/>
            <w:shd w:val="clear" w:color="auto" w:fill="A6A6A6" w:themeFill="background1" w:themeFillShade="A6"/>
          </w:tcPr>
          <w:p w:rsidR="00A952EE" w:rsidP="00BE4044" w:rsidRDefault="00A952EE">
            <w:pPr>
              <w:jc w:val="right"/>
              <w:rPr>
                <w:rFonts w:ascii="Arial" w:hAnsi="Arial" w:cs="Arial"/>
                <w:sz w:val="26"/>
                <w:szCs w:val="26"/>
              </w:rPr>
            </w:pPr>
          </w:p>
        </w:tc>
        <w:tc>
          <w:tcPr>
            <w:tcW w:w="1802" w:type="dxa"/>
            <w:shd w:val="clear" w:color="auto" w:fill="A6A6A6" w:themeFill="background1" w:themeFillShade="A6"/>
          </w:tcPr>
          <w:p w:rsidR="00A952EE" w:rsidP="00BE4044" w:rsidRDefault="00A952EE">
            <w:pPr>
              <w:jc w:val="right"/>
              <w:rPr>
                <w:rFonts w:ascii="Arial" w:hAnsi="Arial" w:cs="Arial"/>
                <w:sz w:val="26"/>
                <w:szCs w:val="26"/>
              </w:rPr>
            </w:pPr>
          </w:p>
        </w:tc>
        <w:tc>
          <w:tcPr>
            <w:tcW w:w="1316" w:type="dxa"/>
            <w:shd w:val="clear" w:color="auto" w:fill="A6A6A6" w:themeFill="background1" w:themeFillShade="A6"/>
          </w:tcPr>
          <w:p w:rsidR="00A952EE" w:rsidP="00BE4044" w:rsidRDefault="00A952EE">
            <w:pPr>
              <w:jc w:val="center"/>
              <w:rPr>
                <w:rFonts w:ascii="Arial" w:hAnsi="Arial" w:cs="Arial"/>
                <w:sz w:val="26"/>
                <w:szCs w:val="26"/>
              </w:rPr>
            </w:pPr>
          </w:p>
        </w:tc>
      </w:tr>
      <w:tr w:rsidR="00BE4044" w:rsidTr="00A952EE">
        <w:tc>
          <w:tcPr>
            <w:tcW w:w="3680" w:type="dxa"/>
          </w:tcPr>
          <w:p w:rsidR="00BE4044" w:rsidP="00CE3D68" w:rsidRDefault="00A952EE">
            <w:pPr>
              <w:rPr>
                <w:rFonts w:ascii="Arial" w:hAnsi="Arial" w:cs="Arial"/>
                <w:sz w:val="26"/>
                <w:szCs w:val="26"/>
              </w:rPr>
            </w:pPr>
            <w:r>
              <w:rPr>
                <w:rFonts w:ascii="Arial" w:hAnsi="Arial" w:cs="Arial"/>
                <w:sz w:val="26"/>
                <w:szCs w:val="26"/>
              </w:rPr>
              <w:t>Estimated allocation 2019-20:</w:t>
            </w:r>
          </w:p>
        </w:tc>
        <w:tc>
          <w:tcPr>
            <w:tcW w:w="1214" w:type="dxa"/>
          </w:tcPr>
          <w:p w:rsidR="00BE4044" w:rsidP="00BE4044" w:rsidRDefault="00BE4044">
            <w:pPr>
              <w:jc w:val="right"/>
              <w:rPr>
                <w:rFonts w:ascii="Arial" w:hAnsi="Arial" w:cs="Arial"/>
                <w:sz w:val="26"/>
                <w:szCs w:val="26"/>
              </w:rPr>
            </w:pPr>
          </w:p>
        </w:tc>
        <w:tc>
          <w:tcPr>
            <w:tcW w:w="1196" w:type="dxa"/>
          </w:tcPr>
          <w:p w:rsidR="00BE4044" w:rsidP="00BE4044" w:rsidRDefault="00BE4044">
            <w:pPr>
              <w:jc w:val="right"/>
              <w:rPr>
                <w:rFonts w:ascii="Arial" w:hAnsi="Arial" w:cs="Arial"/>
                <w:sz w:val="26"/>
                <w:szCs w:val="26"/>
              </w:rPr>
            </w:pPr>
          </w:p>
        </w:tc>
        <w:tc>
          <w:tcPr>
            <w:tcW w:w="1802" w:type="dxa"/>
          </w:tcPr>
          <w:p w:rsidR="00BE4044" w:rsidP="00BE4044" w:rsidRDefault="00BE4044">
            <w:pPr>
              <w:jc w:val="right"/>
              <w:rPr>
                <w:rFonts w:ascii="Arial" w:hAnsi="Arial" w:cs="Arial"/>
                <w:sz w:val="26"/>
                <w:szCs w:val="26"/>
              </w:rPr>
            </w:pPr>
          </w:p>
        </w:tc>
        <w:tc>
          <w:tcPr>
            <w:tcW w:w="1316" w:type="dxa"/>
          </w:tcPr>
          <w:p w:rsidR="00BE4044" w:rsidP="00BE4044" w:rsidRDefault="00BE4044">
            <w:pPr>
              <w:jc w:val="center"/>
              <w:rPr>
                <w:rFonts w:ascii="Arial" w:hAnsi="Arial" w:cs="Arial"/>
                <w:sz w:val="26"/>
                <w:szCs w:val="26"/>
              </w:rPr>
            </w:pPr>
          </w:p>
        </w:tc>
      </w:tr>
      <w:tr w:rsidR="00A952EE" w:rsidTr="00A952EE">
        <w:tc>
          <w:tcPr>
            <w:tcW w:w="3680" w:type="dxa"/>
          </w:tcPr>
          <w:p w:rsidR="00A952EE" w:rsidP="003C7779" w:rsidRDefault="00A952EE">
            <w:pPr>
              <w:rPr>
                <w:rFonts w:ascii="Arial" w:hAnsi="Arial" w:cs="Arial"/>
                <w:sz w:val="26"/>
                <w:szCs w:val="26"/>
              </w:rPr>
            </w:pPr>
            <w:r>
              <w:rPr>
                <w:rFonts w:ascii="Arial" w:hAnsi="Arial" w:cs="Arial"/>
                <w:sz w:val="26"/>
                <w:szCs w:val="26"/>
              </w:rPr>
              <w:t>Actual 2018-19</w:t>
            </w:r>
          </w:p>
        </w:tc>
        <w:tc>
          <w:tcPr>
            <w:tcW w:w="1214" w:type="dxa"/>
          </w:tcPr>
          <w:p w:rsidR="00A952EE" w:rsidP="00A952EE" w:rsidRDefault="00A952EE">
            <w:pPr>
              <w:jc w:val="right"/>
              <w:rPr>
                <w:rFonts w:ascii="Arial" w:hAnsi="Arial" w:cs="Arial"/>
                <w:sz w:val="26"/>
                <w:szCs w:val="26"/>
              </w:rPr>
            </w:pPr>
          </w:p>
        </w:tc>
        <w:tc>
          <w:tcPr>
            <w:tcW w:w="1196" w:type="dxa"/>
          </w:tcPr>
          <w:p w:rsidR="00A952EE" w:rsidP="00A952EE" w:rsidRDefault="00A952EE">
            <w:pPr>
              <w:jc w:val="right"/>
              <w:rPr>
                <w:rFonts w:ascii="Arial" w:hAnsi="Arial" w:cs="Arial"/>
                <w:sz w:val="26"/>
                <w:szCs w:val="26"/>
              </w:rPr>
            </w:pPr>
          </w:p>
        </w:tc>
        <w:tc>
          <w:tcPr>
            <w:tcW w:w="1802" w:type="dxa"/>
          </w:tcPr>
          <w:p w:rsidR="00A952EE" w:rsidP="00A952EE" w:rsidRDefault="00A952EE">
            <w:pPr>
              <w:jc w:val="right"/>
              <w:rPr>
                <w:rFonts w:ascii="Arial" w:hAnsi="Arial" w:cs="Arial"/>
                <w:sz w:val="26"/>
                <w:szCs w:val="26"/>
              </w:rPr>
            </w:pPr>
            <w:r>
              <w:rPr>
                <w:rFonts w:ascii="Arial" w:hAnsi="Arial" w:cs="Arial"/>
                <w:sz w:val="26"/>
                <w:szCs w:val="26"/>
              </w:rPr>
              <w:t>£1,100,000</w:t>
            </w:r>
          </w:p>
        </w:tc>
        <w:tc>
          <w:tcPr>
            <w:tcW w:w="1316" w:type="dxa"/>
          </w:tcPr>
          <w:p w:rsidR="00A952EE" w:rsidP="00A952EE" w:rsidRDefault="00A952EE">
            <w:pPr>
              <w:jc w:val="center"/>
              <w:rPr>
                <w:rFonts w:ascii="Arial" w:hAnsi="Arial" w:cs="Arial"/>
                <w:sz w:val="26"/>
                <w:szCs w:val="26"/>
              </w:rPr>
            </w:pPr>
            <w:r>
              <w:rPr>
                <w:rFonts w:ascii="Arial" w:hAnsi="Arial" w:cs="Arial"/>
                <w:sz w:val="26"/>
                <w:szCs w:val="26"/>
              </w:rPr>
              <w:t>B</w:t>
            </w:r>
          </w:p>
        </w:tc>
      </w:tr>
      <w:tr w:rsidR="00A952EE" w:rsidTr="00A952EE">
        <w:tc>
          <w:tcPr>
            <w:tcW w:w="3680" w:type="dxa"/>
          </w:tcPr>
          <w:p w:rsidR="00A952EE" w:rsidP="003C7779" w:rsidRDefault="00A952EE">
            <w:pPr>
              <w:rPr>
                <w:rFonts w:ascii="Arial" w:hAnsi="Arial" w:cs="Arial"/>
                <w:sz w:val="26"/>
                <w:szCs w:val="26"/>
              </w:rPr>
            </w:pPr>
            <w:r>
              <w:rPr>
                <w:rFonts w:ascii="Arial" w:hAnsi="Arial" w:cs="Arial"/>
                <w:sz w:val="26"/>
                <w:szCs w:val="26"/>
              </w:rPr>
              <w:t>50% historic</w:t>
            </w:r>
          </w:p>
        </w:tc>
        <w:tc>
          <w:tcPr>
            <w:tcW w:w="1214" w:type="dxa"/>
          </w:tcPr>
          <w:p w:rsidR="00A952EE" w:rsidP="00A952EE" w:rsidRDefault="00A952EE">
            <w:pPr>
              <w:jc w:val="right"/>
              <w:rPr>
                <w:rFonts w:ascii="Arial" w:hAnsi="Arial" w:cs="Arial"/>
                <w:sz w:val="26"/>
                <w:szCs w:val="26"/>
              </w:rPr>
            </w:pPr>
          </w:p>
        </w:tc>
        <w:tc>
          <w:tcPr>
            <w:tcW w:w="1196" w:type="dxa"/>
          </w:tcPr>
          <w:p w:rsidR="00A952EE" w:rsidP="00A952EE" w:rsidRDefault="00A952EE">
            <w:pPr>
              <w:jc w:val="right"/>
              <w:rPr>
                <w:rFonts w:ascii="Arial" w:hAnsi="Arial" w:cs="Arial"/>
                <w:sz w:val="26"/>
                <w:szCs w:val="26"/>
              </w:rPr>
            </w:pPr>
          </w:p>
        </w:tc>
        <w:tc>
          <w:tcPr>
            <w:tcW w:w="1802" w:type="dxa"/>
          </w:tcPr>
          <w:p w:rsidR="00A952EE" w:rsidP="00A952EE" w:rsidRDefault="00A952EE">
            <w:pPr>
              <w:jc w:val="right"/>
              <w:rPr>
                <w:rFonts w:ascii="Arial" w:hAnsi="Arial" w:cs="Arial"/>
                <w:sz w:val="26"/>
                <w:szCs w:val="26"/>
              </w:rPr>
            </w:pPr>
            <w:r>
              <w:rPr>
                <w:rFonts w:ascii="Arial" w:hAnsi="Arial" w:cs="Arial"/>
                <w:sz w:val="26"/>
                <w:szCs w:val="26"/>
              </w:rPr>
              <w:t>£550,000</w:t>
            </w:r>
          </w:p>
        </w:tc>
        <w:tc>
          <w:tcPr>
            <w:tcW w:w="1316" w:type="dxa"/>
          </w:tcPr>
          <w:p w:rsidR="00A952EE" w:rsidP="00A952EE" w:rsidRDefault="00A952EE">
            <w:pPr>
              <w:jc w:val="center"/>
              <w:rPr>
                <w:rFonts w:ascii="Arial" w:hAnsi="Arial" w:cs="Arial"/>
                <w:sz w:val="26"/>
                <w:szCs w:val="26"/>
              </w:rPr>
            </w:pPr>
            <w:r>
              <w:rPr>
                <w:rFonts w:ascii="Arial" w:hAnsi="Arial" w:cs="Arial"/>
                <w:sz w:val="26"/>
                <w:szCs w:val="26"/>
              </w:rPr>
              <w:t>D=B/2</w:t>
            </w:r>
          </w:p>
        </w:tc>
      </w:tr>
      <w:tr w:rsidR="00A952EE" w:rsidTr="00A952EE">
        <w:tc>
          <w:tcPr>
            <w:tcW w:w="3680" w:type="dxa"/>
          </w:tcPr>
          <w:p w:rsidR="00A952EE" w:rsidP="003C7779" w:rsidRDefault="00A952EE">
            <w:pPr>
              <w:rPr>
                <w:rFonts w:ascii="Arial" w:hAnsi="Arial" w:cs="Arial"/>
                <w:sz w:val="26"/>
                <w:szCs w:val="26"/>
              </w:rPr>
            </w:pPr>
            <w:r>
              <w:rPr>
                <w:rFonts w:ascii="Arial" w:hAnsi="Arial" w:cs="Arial"/>
                <w:sz w:val="26"/>
                <w:szCs w:val="26"/>
              </w:rPr>
              <w:t>50% Scaled gain</w:t>
            </w:r>
          </w:p>
        </w:tc>
        <w:tc>
          <w:tcPr>
            <w:tcW w:w="1214" w:type="dxa"/>
          </w:tcPr>
          <w:p w:rsidR="00A952EE" w:rsidP="00A952EE" w:rsidRDefault="00A952EE">
            <w:pPr>
              <w:jc w:val="right"/>
              <w:rPr>
                <w:rFonts w:ascii="Arial" w:hAnsi="Arial" w:cs="Arial"/>
                <w:sz w:val="26"/>
                <w:szCs w:val="26"/>
              </w:rPr>
            </w:pPr>
          </w:p>
        </w:tc>
        <w:tc>
          <w:tcPr>
            <w:tcW w:w="1196" w:type="dxa"/>
          </w:tcPr>
          <w:p w:rsidR="00A952EE" w:rsidP="00A952EE" w:rsidRDefault="00A952EE">
            <w:pPr>
              <w:jc w:val="right"/>
              <w:rPr>
                <w:rFonts w:ascii="Arial" w:hAnsi="Arial" w:cs="Arial"/>
                <w:sz w:val="26"/>
                <w:szCs w:val="26"/>
              </w:rPr>
            </w:pPr>
          </w:p>
        </w:tc>
        <w:tc>
          <w:tcPr>
            <w:tcW w:w="1802" w:type="dxa"/>
          </w:tcPr>
          <w:p w:rsidR="00A952EE" w:rsidP="00A952EE" w:rsidRDefault="00A952EE">
            <w:pPr>
              <w:jc w:val="right"/>
              <w:rPr>
                <w:rFonts w:ascii="Arial" w:hAnsi="Arial" w:cs="Arial"/>
                <w:sz w:val="26"/>
                <w:szCs w:val="26"/>
              </w:rPr>
            </w:pPr>
            <w:r>
              <w:rPr>
                <w:rFonts w:ascii="Arial" w:hAnsi="Arial" w:cs="Arial"/>
                <w:sz w:val="26"/>
                <w:szCs w:val="26"/>
              </w:rPr>
              <w:t>£825,273</w:t>
            </w:r>
          </w:p>
        </w:tc>
        <w:tc>
          <w:tcPr>
            <w:tcW w:w="1316" w:type="dxa"/>
          </w:tcPr>
          <w:p w:rsidR="00A952EE" w:rsidP="00A952EE" w:rsidRDefault="00A952EE">
            <w:pPr>
              <w:jc w:val="center"/>
              <w:rPr>
                <w:rFonts w:ascii="Arial" w:hAnsi="Arial" w:cs="Arial"/>
                <w:sz w:val="26"/>
                <w:szCs w:val="26"/>
              </w:rPr>
            </w:pPr>
            <w:r>
              <w:rPr>
                <w:rFonts w:ascii="Arial" w:hAnsi="Arial" w:cs="Arial"/>
                <w:sz w:val="26"/>
                <w:szCs w:val="26"/>
              </w:rPr>
              <w:t>½*(C-D)</w:t>
            </w:r>
          </w:p>
        </w:tc>
      </w:tr>
      <w:tr w:rsidR="00A952EE" w:rsidTr="00A952EE">
        <w:tc>
          <w:tcPr>
            <w:tcW w:w="3680" w:type="dxa"/>
          </w:tcPr>
          <w:p w:rsidR="00A952EE" w:rsidP="004D78DF" w:rsidRDefault="00A952EE">
            <w:pPr>
              <w:rPr>
                <w:rFonts w:ascii="Arial" w:hAnsi="Arial" w:cs="Arial"/>
                <w:sz w:val="26"/>
                <w:szCs w:val="26"/>
              </w:rPr>
            </w:pPr>
            <w:r>
              <w:rPr>
                <w:rFonts w:ascii="Arial" w:hAnsi="Arial" w:cs="Arial"/>
                <w:sz w:val="26"/>
                <w:szCs w:val="26"/>
              </w:rPr>
              <w:t>2019-20 est</w:t>
            </w:r>
            <w:r w:rsidR="004D78DF">
              <w:rPr>
                <w:rFonts w:ascii="Arial" w:hAnsi="Arial" w:cs="Arial"/>
                <w:sz w:val="26"/>
                <w:szCs w:val="26"/>
              </w:rPr>
              <w:t xml:space="preserve">imated </w:t>
            </w:r>
            <w:r>
              <w:rPr>
                <w:rFonts w:ascii="Arial" w:hAnsi="Arial" w:cs="Arial"/>
                <w:sz w:val="26"/>
                <w:szCs w:val="26"/>
              </w:rPr>
              <w:t>allocation</w:t>
            </w:r>
          </w:p>
        </w:tc>
        <w:tc>
          <w:tcPr>
            <w:tcW w:w="1214" w:type="dxa"/>
          </w:tcPr>
          <w:p w:rsidR="00A952EE" w:rsidP="00A952EE" w:rsidRDefault="00A952EE">
            <w:pPr>
              <w:jc w:val="right"/>
              <w:rPr>
                <w:rFonts w:ascii="Arial" w:hAnsi="Arial" w:cs="Arial"/>
                <w:sz w:val="26"/>
                <w:szCs w:val="26"/>
              </w:rPr>
            </w:pPr>
          </w:p>
        </w:tc>
        <w:tc>
          <w:tcPr>
            <w:tcW w:w="1196" w:type="dxa"/>
          </w:tcPr>
          <w:p w:rsidR="00A952EE" w:rsidP="00A952EE" w:rsidRDefault="00A952EE">
            <w:pPr>
              <w:jc w:val="right"/>
              <w:rPr>
                <w:rFonts w:ascii="Arial" w:hAnsi="Arial" w:cs="Arial"/>
                <w:sz w:val="26"/>
                <w:szCs w:val="26"/>
              </w:rPr>
            </w:pPr>
          </w:p>
        </w:tc>
        <w:tc>
          <w:tcPr>
            <w:tcW w:w="1802" w:type="dxa"/>
          </w:tcPr>
          <w:p w:rsidRPr="00A952EE" w:rsidR="00A952EE" w:rsidP="00A952EE" w:rsidRDefault="00A952EE">
            <w:pPr>
              <w:jc w:val="right"/>
              <w:rPr>
                <w:rFonts w:ascii="Arial" w:hAnsi="Arial" w:cs="Arial"/>
                <w:b/>
                <w:sz w:val="26"/>
                <w:szCs w:val="26"/>
              </w:rPr>
            </w:pPr>
            <w:r w:rsidRPr="00A952EE">
              <w:rPr>
                <w:rFonts w:ascii="Arial" w:hAnsi="Arial" w:cs="Arial"/>
                <w:b/>
                <w:sz w:val="26"/>
                <w:szCs w:val="26"/>
              </w:rPr>
              <w:t>£2,475,273</w:t>
            </w:r>
          </w:p>
        </w:tc>
        <w:tc>
          <w:tcPr>
            <w:tcW w:w="1316" w:type="dxa"/>
          </w:tcPr>
          <w:p w:rsidR="00A952EE" w:rsidP="00A952EE" w:rsidRDefault="00A952EE">
            <w:pPr>
              <w:jc w:val="center"/>
              <w:rPr>
                <w:rFonts w:ascii="Arial" w:hAnsi="Arial" w:cs="Arial"/>
                <w:sz w:val="26"/>
                <w:szCs w:val="26"/>
              </w:rPr>
            </w:pPr>
          </w:p>
        </w:tc>
      </w:tr>
    </w:tbl>
    <w:p w:rsidR="00151BC7" w:rsidP="004D78DF" w:rsidRDefault="00A952EE">
      <w:pPr>
        <w:ind w:left="284"/>
        <w:rPr>
          <w:rFonts w:ascii="Arial" w:hAnsi="Arial" w:cs="Arial"/>
          <w:sz w:val="26"/>
          <w:szCs w:val="26"/>
        </w:rPr>
      </w:pPr>
      <w:r>
        <w:rPr>
          <w:rFonts w:ascii="Arial" w:hAnsi="Arial" w:cs="Arial"/>
          <w:sz w:val="26"/>
          <w:szCs w:val="26"/>
        </w:rPr>
        <w:lastRenderedPageBreak/>
        <w:t xml:space="preserve">The </w:t>
      </w:r>
      <w:r w:rsidR="004D78DF">
        <w:rPr>
          <w:rFonts w:ascii="Arial" w:hAnsi="Arial" w:cs="Arial"/>
          <w:sz w:val="26"/>
          <w:szCs w:val="26"/>
        </w:rPr>
        <w:t xml:space="preserve">indicative </w:t>
      </w:r>
      <w:r w:rsidR="00151BC7">
        <w:rPr>
          <w:rFonts w:ascii="Arial" w:hAnsi="Arial" w:cs="Arial"/>
          <w:sz w:val="26"/>
          <w:szCs w:val="26"/>
        </w:rPr>
        <w:t xml:space="preserve">pupil growth allocation </w:t>
      </w:r>
      <w:r>
        <w:rPr>
          <w:rFonts w:ascii="Arial" w:hAnsi="Arial" w:cs="Arial"/>
          <w:sz w:val="26"/>
          <w:szCs w:val="26"/>
        </w:rPr>
        <w:t xml:space="preserve">would represent an increase of £1.375m </w:t>
      </w:r>
      <w:r w:rsidR="00966E62">
        <w:rPr>
          <w:rFonts w:ascii="Arial" w:hAnsi="Arial" w:cs="Arial"/>
          <w:sz w:val="26"/>
          <w:szCs w:val="26"/>
        </w:rPr>
        <w:t xml:space="preserve">compared with </w:t>
      </w:r>
      <w:r>
        <w:rPr>
          <w:rFonts w:ascii="Arial" w:hAnsi="Arial" w:cs="Arial"/>
          <w:sz w:val="26"/>
          <w:szCs w:val="26"/>
        </w:rPr>
        <w:t xml:space="preserve">current </w:t>
      </w:r>
      <w:r w:rsidR="004D78DF">
        <w:rPr>
          <w:rFonts w:ascii="Arial" w:hAnsi="Arial" w:cs="Arial"/>
          <w:sz w:val="26"/>
          <w:szCs w:val="26"/>
        </w:rPr>
        <w:t>resources</w:t>
      </w:r>
      <w:r>
        <w:rPr>
          <w:rFonts w:ascii="Arial" w:hAnsi="Arial" w:cs="Arial"/>
          <w:sz w:val="26"/>
          <w:szCs w:val="26"/>
        </w:rPr>
        <w:t xml:space="preserve">. </w:t>
      </w:r>
      <w:r w:rsidR="00151BC7">
        <w:rPr>
          <w:rFonts w:ascii="Arial" w:hAnsi="Arial" w:cs="Arial"/>
          <w:sz w:val="26"/>
          <w:szCs w:val="26"/>
        </w:rPr>
        <w:t>Whilst th</w:t>
      </w:r>
      <w:r w:rsidR="00966E62">
        <w:rPr>
          <w:rFonts w:ascii="Arial" w:hAnsi="Arial" w:cs="Arial"/>
          <w:sz w:val="26"/>
          <w:szCs w:val="26"/>
        </w:rPr>
        <w:t>e</w:t>
      </w:r>
      <w:r w:rsidR="00151BC7">
        <w:rPr>
          <w:rFonts w:ascii="Arial" w:hAnsi="Arial" w:cs="Arial"/>
          <w:sz w:val="26"/>
          <w:szCs w:val="26"/>
        </w:rPr>
        <w:t xml:space="preserve"> increase is welcomed, it must be noted that the funding is </w:t>
      </w:r>
      <w:r w:rsidR="004D78DF">
        <w:rPr>
          <w:rFonts w:ascii="Arial" w:hAnsi="Arial" w:cs="Arial"/>
          <w:sz w:val="26"/>
          <w:szCs w:val="26"/>
        </w:rPr>
        <w:t xml:space="preserve">only guaranteed </w:t>
      </w:r>
      <w:r w:rsidR="00151BC7">
        <w:rPr>
          <w:rFonts w:ascii="Arial" w:hAnsi="Arial" w:cs="Arial"/>
          <w:sz w:val="26"/>
          <w:szCs w:val="26"/>
        </w:rPr>
        <w:t>for 2019-20</w:t>
      </w:r>
      <w:r w:rsidR="00966E62">
        <w:rPr>
          <w:rFonts w:ascii="Arial" w:hAnsi="Arial" w:cs="Arial"/>
          <w:sz w:val="26"/>
          <w:szCs w:val="26"/>
        </w:rPr>
        <w:t>, a</w:t>
      </w:r>
      <w:r w:rsidR="00151BC7">
        <w:rPr>
          <w:rFonts w:ascii="Arial" w:hAnsi="Arial" w:cs="Arial"/>
          <w:sz w:val="26"/>
          <w:szCs w:val="26"/>
        </w:rPr>
        <w:t xml:space="preserve"> separate calculation will be performed </w:t>
      </w:r>
      <w:r w:rsidR="004D78DF">
        <w:rPr>
          <w:rFonts w:ascii="Arial" w:hAnsi="Arial" w:cs="Arial"/>
          <w:sz w:val="26"/>
          <w:szCs w:val="26"/>
        </w:rPr>
        <w:t xml:space="preserve">to determine the </w:t>
      </w:r>
      <w:r w:rsidR="00151BC7">
        <w:rPr>
          <w:rFonts w:ascii="Arial" w:hAnsi="Arial" w:cs="Arial"/>
          <w:sz w:val="26"/>
          <w:szCs w:val="26"/>
        </w:rPr>
        <w:t xml:space="preserve">2020-21 </w:t>
      </w:r>
      <w:r w:rsidR="004D78DF">
        <w:rPr>
          <w:rFonts w:ascii="Arial" w:hAnsi="Arial" w:cs="Arial"/>
          <w:sz w:val="26"/>
          <w:szCs w:val="26"/>
        </w:rPr>
        <w:t xml:space="preserve">pupil growth </w:t>
      </w:r>
      <w:r w:rsidR="00760B1F">
        <w:rPr>
          <w:rFonts w:ascii="Arial" w:hAnsi="Arial" w:cs="Arial"/>
          <w:sz w:val="26"/>
          <w:szCs w:val="26"/>
        </w:rPr>
        <w:t xml:space="preserve">allocation </w:t>
      </w:r>
      <w:r w:rsidR="00AA7ED4">
        <w:rPr>
          <w:rFonts w:ascii="Arial" w:hAnsi="Arial" w:cs="Arial"/>
          <w:sz w:val="26"/>
          <w:szCs w:val="26"/>
        </w:rPr>
        <w:t xml:space="preserve">based on </w:t>
      </w:r>
      <w:r w:rsidR="00151BC7">
        <w:rPr>
          <w:rFonts w:ascii="Arial" w:hAnsi="Arial" w:cs="Arial"/>
          <w:sz w:val="26"/>
          <w:szCs w:val="26"/>
        </w:rPr>
        <w:t>the October 2019 and 2018 census data</w:t>
      </w:r>
      <w:r w:rsidR="004D78DF">
        <w:rPr>
          <w:rFonts w:ascii="Arial" w:hAnsi="Arial" w:cs="Arial"/>
          <w:sz w:val="26"/>
          <w:szCs w:val="26"/>
        </w:rPr>
        <w:t xml:space="preserve">. The uncertainty over future funding levels </w:t>
      </w:r>
      <w:r w:rsidR="00AA7ED4">
        <w:rPr>
          <w:rFonts w:ascii="Arial" w:hAnsi="Arial" w:cs="Arial"/>
          <w:sz w:val="26"/>
          <w:szCs w:val="26"/>
        </w:rPr>
        <w:t xml:space="preserve">is a key consideration </w:t>
      </w:r>
      <w:r w:rsidR="004D78DF">
        <w:rPr>
          <w:rFonts w:ascii="Arial" w:hAnsi="Arial" w:cs="Arial"/>
          <w:sz w:val="26"/>
          <w:szCs w:val="26"/>
        </w:rPr>
        <w:t xml:space="preserve">when </w:t>
      </w:r>
      <w:r w:rsidR="00AA7ED4">
        <w:rPr>
          <w:rFonts w:ascii="Arial" w:hAnsi="Arial" w:cs="Arial"/>
          <w:sz w:val="26"/>
          <w:szCs w:val="26"/>
        </w:rPr>
        <w:t xml:space="preserve">determining </w:t>
      </w:r>
      <w:r w:rsidR="004D78DF">
        <w:rPr>
          <w:rFonts w:ascii="Arial" w:hAnsi="Arial" w:cs="Arial"/>
          <w:sz w:val="26"/>
          <w:szCs w:val="26"/>
        </w:rPr>
        <w:t>how th</w:t>
      </w:r>
      <w:r w:rsidR="00C4522D">
        <w:rPr>
          <w:rFonts w:ascii="Arial" w:hAnsi="Arial" w:cs="Arial"/>
          <w:sz w:val="26"/>
          <w:szCs w:val="26"/>
        </w:rPr>
        <w:t xml:space="preserve">e 2019-20 pupil growth fund </w:t>
      </w:r>
      <w:r w:rsidR="00611AE3">
        <w:rPr>
          <w:rFonts w:ascii="Arial" w:hAnsi="Arial" w:cs="Arial"/>
          <w:sz w:val="26"/>
          <w:szCs w:val="26"/>
        </w:rPr>
        <w:t xml:space="preserve">might </w:t>
      </w:r>
      <w:r w:rsidR="004D78DF">
        <w:rPr>
          <w:rFonts w:ascii="Arial" w:hAnsi="Arial" w:cs="Arial"/>
          <w:sz w:val="26"/>
          <w:szCs w:val="26"/>
        </w:rPr>
        <w:t>be utilised.</w:t>
      </w:r>
    </w:p>
    <w:p w:rsidR="00151BC7" w:rsidP="00CE3D68" w:rsidRDefault="00151BC7">
      <w:pPr>
        <w:ind w:left="284"/>
        <w:rPr>
          <w:rFonts w:ascii="Arial" w:hAnsi="Arial" w:cs="Arial"/>
          <w:sz w:val="26"/>
          <w:szCs w:val="26"/>
        </w:rPr>
      </w:pPr>
    </w:p>
    <w:p w:rsidRPr="004D78DF" w:rsidR="004D78DF" w:rsidP="004D78DF" w:rsidRDefault="004D78DF">
      <w:pPr>
        <w:ind w:left="284"/>
        <w:rPr>
          <w:rFonts w:ascii="Arial" w:hAnsi="Arial" w:cs="Arial"/>
          <w:b/>
          <w:sz w:val="26"/>
          <w:szCs w:val="26"/>
        </w:rPr>
      </w:pPr>
      <w:r w:rsidRPr="004D78DF">
        <w:rPr>
          <w:rFonts w:ascii="Arial" w:hAnsi="Arial" w:cs="Arial"/>
          <w:b/>
          <w:sz w:val="26"/>
          <w:szCs w:val="26"/>
        </w:rPr>
        <w:t>2.</w:t>
      </w:r>
      <w:r>
        <w:rPr>
          <w:rFonts w:ascii="Arial" w:hAnsi="Arial" w:cs="Arial"/>
          <w:b/>
          <w:sz w:val="26"/>
          <w:szCs w:val="26"/>
        </w:rPr>
        <w:t>2</w:t>
      </w:r>
      <w:r w:rsidRPr="004D78DF">
        <w:rPr>
          <w:rFonts w:ascii="Arial" w:hAnsi="Arial" w:cs="Arial"/>
          <w:b/>
          <w:sz w:val="26"/>
          <w:szCs w:val="26"/>
        </w:rPr>
        <w:tab/>
      </w:r>
      <w:r w:rsidRPr="004D78DF">
        <w:rPr>
          <w:rFonts w:ascii="Arial" w:hAnsi="Arial" w:cs="Arial"/>
          <w:b/>
          <w:sz w:val="26"/>
          <w:szCs w:val="26"/>
        </w:rPr>
        <w:tab/>
      </w:r>
      <w:r>
        <w:rPr>
          <w:rFonts w:ascii="Arial" w:hAnsi="Arial" w:cs="Arial"/>
          <w:b/>
          <w:sz w:val="26"/>
          <w:szCs w:val="26"/>
          <w:u w:val="single"/>
        </w:rPr>
        <w:t>Proposed allocation</w:t>
      </w:r>
      <w:r w:rsidR="00760B1F">
        <w:rPr>
          <w:rFonts w:ascii="Arial" w:hAnsi="Arial" w:cs="Arial"/>
          <w:b/>
          <w:sz w:val="26"/>
          <w:szCs w:val="26"/>
          <w:u w:val="single"/>
        </w:rPr>
        <w:t>s</w:t>
      </w:r>
    </w:p>
    <w:p w:rsidR="004D78DF" w:rsidP="00CE3D68" w:rsidRDefault="004D78DF">
      <w:pPr>
        <w:ind w:left="284"/>
        <w:rPr>
          <w:rFonts w:ascii="Arial" w:hAnsi="Arial" w:cs="Arial"/>
          <w:sz w:val="26"/>
          <w:szCs w:val="26"/>
        </w:rPr>
      </w:pPr>
    </w:p>
    <w:p w:rsidRPr="004D78DF" w:rsidR="004D78DF" w:rsidP="00CE3D68" w:rsidRDefault="004D78DF">
      <w:pPr>
        <w:ind w:left="284"/>
        <w:rPr>
          <w:rFonts w:ascii="Arial" w:hAnsi="Arial" w:cs="Arial"/>
          <w:b/>
          <w:sz w:val="26"/>
          <w:szCs w:val="26"/>
        </w:rPr>
      </w:pPr>
      <w:r w:rsidRPr="004D78DF">
        <w:rPr>
          <w:rFonts w:ascii="Arial" w:hAnsi="Arial" w:cs="Arial"/>
          <w:b/>
          <w:sz w:val="26"/>
          <w:szCs w:val="26"/>
        </w:rPr>
        <w:t>2.2.1</w:t>
      </w:r>
      <w:r w:rsidRPr="004D78DF">
        <w:rPr>
          <w:rFonts w:ascii="Arial" w:hAnsi="Arial" w:cs="Arial"/>
          <w:b/>
          <w:sz w:val="26"/>
          <w:szCs w:val="26"/>
        </w:rPr>
        <w:tab/>
      </w:r>
      <w:r w:rsidRPr="004D78DF">
        <w:rPr>
          <w:rFonts w:ascii="Arial" w:hAnsi="Arial" w:cs="Arial"/>
          <w:b/>
          <w:sz w:val="26"/>
          <w:szCs w:val="26"/>
          <w:u w:val="single"/>
        </w:rPr>
        <w:t>Support for additional classes</w:t>
      </w:r>
      <w:r w:rsidR="00AA7E53">
        <w:rPr>
          <w:rFonts w:ascii="Arial" w:hAnsi="Arial" w:cs="Arial"/>
          <w:b/>
          <w:sz w:val="26"/>
          <w:szCs w:val="26"/>
          <w:u w:val="single"/>
        </w:rPr>
        <w:t xml:space="preserve"> including Key Stage 1</w:t>
      </w:r>
      <w:r w:rsidR="005B201E">
        <w:rPr>
          <w:rFonts w:ascii="Arial" w:hAnsi="Arial" w:cs="Arial"/>
          <w:b/>
          <w:sz w:val="26"/>
          <w:szCs w:val="26"/>
          <w:u w:val="single"/>
        </w:rPr>
        <w:t xml:space="preserve"> (£1.</w:t>
      </w:r>
      <w:r w:rsidR="00BD0F25">
        <w:rPr>
          <w:rFonts w:ascii="Arial" w:hAnsi="Arial" w:cs="Arial"/>
          <w:b/>
          <w:sz w:val="26"/>
          <w:szCs w:val="26"/>
          <w:u w:val="single"/>
        </w:rPr>
        <w:t>3</w:t>
      </w:r>
      <w:r w:rsidR="0096402A">
        <w:rPr>
          <w:rFonts w:ascii="Arial" w:hAnsi="Arial" w:cs="Arial"/>
          <w:b/>
          <w:sz w:val="26"/>
          <w:szCs w:val="26"/>
          <w:u w:val="single"/>
        </w:rPr>
        <w:t>5</w:t>
      </w:r>
      <w:r w:rsidR="005B201E">
        <w:rPr>
          <w:rFonts w:ascii="Arial" w:hAnsi="Arial" w:cs="Arial"/>
          <w:b/>
          <w:sz w:val="26"/>
          <w:szCs w:val="26"/>
          <w:u w:val="single"/>
        </w:rPr>
        <w:t>m)</w:t>
      </w:r>
    </w:p>
    <w:p w:rsidR="004D78DF" w:rsidP="00CE3D68" w:rsidRDefault="004D78DF">
      <w:pPr>
        <w:ind w:left="284"/>
        <w:rPr>
          <w:rFonts w:ascii="Arial" w:hAnsi="Arial" w:cs="Arial"/>
          <w:sz w:val="26"/>
          <w:szCs w:val="26"/>
        </w:rPr>
      </w:pPr>
    </w:p>
    <w:p w:rsidR="00760B1F" w:rsidP="00B61C02" w:rsidRDefault="004D78DF">
      <w:pPr>
        <w:ind w:left="284"/>
        <w:rPr>
          <w:rFonts w:ascii="Arial" w:hAnsi="Arial" w:cs="Arial"/>
          <w:sz w:val="26"/>
          <w:szCs w:val="26"/>
        </w:rPr>
      </w:pPr>
      <w:r>
        <w:rPr>
          <w:rFonts w:ascii="Arial" w:hAnsi="Arial" w:cs="Arial"/>
          <w:sz w:val="26"/>
          <w:szCs w:val="26"/>
        </w:rPr>
        <w:t xml:space="preserve">The </w:t>
      </w:r>
      <w:r w:rsidR="00760B1F">
        <w:rPr>
          <w:rFonts w:ascii="Arial" w:hAnsi="Arial" w:cs="Arial"/>
          <w:sz w:val="26"/>
          <w:szCs w:val="26"/>
        </w:rPr>
        <w:t xml:space="preserve">estimated </w:t>
      </w:r>
      <w:r>
        <w:rPr>
          <w:rFonts w:ascii="Arial" w:hAnsi="Arial" w:cs="Arial"/>
          <w:sz w:val="26"/>
          <w:szCs w:val="26"/>
        </w:rPr>
        <w:t xml:space="preserve">quantum would allow the current Key Stage 1 class size fund (£1.0m) to be retained </w:t>
      </w:r>
      <w:r w:rsidR="00BD0F25">
        <w:rPr>
          <w:rFonts w:ascii="Arial" w:hAnsi="Arial" w:cs="Arial"/>
          <w:sz w:val="26"/>
          <w:szCs w:val="26"/>
        </w:rPr>
        <w:t xml:space="preserve">together with an increase of £0.1m to cover </w:t>
      </w:r>
      <w:r w:rsidR="000830CC">
        <w:rPr>
          <w:rFonts w:ascii="Arial" w:hAnsi="Arial" w:cs="Arial"/>
          <w:sz w:val="26"/>
          <w:szCs w:val="26"/>
        </w:rPr>
        <w:t xml:space="preserve">teachers’ pay awards </w:t>
      </w:r>
      <w:r w:rsidR="00BD0F25">
        <w:rPr>
          <w:rFonts w:ascii="Arial" w:hAnsi="Arial" w:cs="Arial"/>
          <w:sz w:val="26"/>
          <w:szCs w:val="26"/>
        </w:rPr>
        <w:t xml:space="preserve">and pension increases. This would </w:t>
      </w:r>
      <w:r>
        <w:rPr>
          <w:rFonts w:ascii="Arial" w:hAnsi="Arial" w:cs="Arial"/>
          <w:sz w:val="26"/>
          <w:szCs w:val="26"/>
        </w:rPr>
        <w:t>enabl</w:t>
      </w:r>
      <w:r w:rsidR="00BD0F25">
        <w:rPr>
          <w:rFonts w:ascii="Arial" w:hAnsi="Arial" w:cs="Arial"/>
          <w:sz w:val="26"/>
          <w:szCs w:val="26"/>
        </w:rPr>
        <w:t xml:space="preserve">e </w:t>
      </w:r>
      <w:r>
        <w:rPr>
          <w:rFonts w:ascii="Arial" w:hAnsi="Arial" w:cs="Arial"/>
          <w:sz w:val="26"/>
          <w:szCs w:val="26"/>
        </w:rPr>
        <w:t xml:space="preserve">the Authority to </w:t>
      </w:r>
      <w:r w:rsidR="00BD0F25">
        <w:rPr>
          <w:rFonts w:ascii="Arial" w:hAnsi="Arial" w:cs="Arial"/>
          <w:sz w:val="26"/>
          <w:szCs w:val="26"/>
        </w:rPr>
        <w:t xml:space="preserve">continue to </w:t>
      </w:r>
      <w:r>
        <w:rPr>
          <w:rFonts w:ascii="Arial" w:hAnsi="Arial" w:cs="Arial"/>
          <w:sz w:val="26"/>
          <w:szCs w:val="26"/>
        </w:rPr>
        <w:t xml:space="preserve">support institutions with unreasonable additional costs. </w:t>
      </w:r>
      <w:bookmarkStart w:name="_GoBack" w:id="0"/>
      <w:bookmarkEnd w:id="0"/>
    </w:p>
    <w:p w:rsidR="00760B1F" w:rsidP="00B61C02" w:rsidRDefault="00760B1F">
      <w:pPr>
        <w:ind w:left="284"/>
        <w:rPr>
          <w:rFonts w:ascii="Arial" w:hAnsi="Arial" w:cs="Arial"/>
          <w:sz w:val="26"/>
          <w:szCs w:val="26"/>
        </w:rPr>
      </w:pPr>
    </w:p>
    <w:p w:rsidR="004D78DF" w:rsidP="00B61C02" w:rsidRDefault="00AA7E53">
      <w:pPr>
        <w:ind w:left="284"/>
        <w:rPr>
          <w:rFonts w:ascii="Arial" w:hAnsi="Arial" w:cs="Arial"/>
          <w:sz w:val="26"/>
          <w:szCs w:val="26"/>
        </w:rPr>
      </w:pPr>
      <w:r>
        <w:rPr>
          <w:rFonts w:ascii="Arial" w:hAnsi="Arial" w:cs="Arial"/>
          <w:sz w:val="26"/>
          <w:szCs w:val="26"/>
        </w:rPr>
        <w:t>Prior to April 2018</w:t>
      </w:r>
      <w:r w:rsidR="005B201E">
        <w:rPr>
          <w:rFonts w:ascii="Arial" w:hAnsi="Arial" w:cs="Arial"/>
          <w:sz w:val="26"/>
          <w:szCs w:val="26"/>
        </w:rPr>
        <w:t xml:space="preserve">, other than </w:t>
      </w:r>
      <w:r w:rsidR="00611AE3">
        <w:rPr>
          <w:rFonts w:ascii="Arial" w:hAnsi="Arial" w:cs="Arial"/>
          <w:sz w:val="26"/>
          <w:szCs w:val="26"/>
        </w:rPr>
        <w:t>for Key Stage 1</w:t>
      </w:r>
      <w:r w:rsidR="005B201E">
        <w:rPr>
          <w:rFonts w:ascii="Arial" w:hAnsi="Arial" w:cs="Arial"/>
          <w:sz w:val="26"/>
          <w:szCs w:val="26"/>
        </w:rPr>
        <w:t xml:space="preserve"> </w:t>
      </w:r>
      <w:r w:rsidR="00B61C02">
        <w:rPr>
          <w:rFonts w:ascii="Arial" w:hAnsi="Arial" w:cs="Arial"/>
          <w:sz w:val="26"/>
          <w:szCs w:val="26"/>
        </w:rPr>
        <w:t>t</w:t>
      </w:r>
      <w:r w:rsidRPr="00D14230" w:rsidR="00B61C02">
        <w:rPr>
          <w:rFonts w:ascii="Arial" w:hAnsi="Arial" w:cs="Arial"/>
          <w:sz w:val="26"/>
          <w:szCs w:val="26"/>
        </w:rPr>
        <w:t xml:space="preserve">here has never been a general growth fund for in-year increases in pupil numbers in Derbyshire. For maintained schools the expectation has been that they would manage any </w:t>
      </w:r>
      <w:r w:rsidR="00B61C02">
        <w:rPr>
          <w:rFonts w:ascii="Arial" w:hAnsi="Arial" w:cs="Arial"/>
          <w:sz w:val="26"/>
          <w:szCs w:val="26"/>
        </w:rPr>
        <w:t xml:space="preserve">short term </w:t>
      </w:r>
      <w:r w:rsidRPr="00D14230" w:rsidR="00B61C02">
        <w:rPr>
          <w:rFonts w:ascii="Arial" w:hAnsi="Arial" w:cs="Arial"/>
          <w:sz w:val="26"/>
          <w:szCs w:val="26"/>
        </w:rPr>
        <w:t xml:space="preserve">cost pressures from their balances via a licenced deficit or, in exceptional circumstances, with support from the re-pooled contingency fund. </w:t>
      </w:r>
      <w:r w:rsidR="003D30CD">
        <w:rPr>
          <w:rFonts w:ascii="Arial" w:hAnsi="Arial" w:cs="Arial"/>
          <w:sz w:val="26"/>
          <w:szCs w:val="26"/>
        </w:rPr>
        <w:t>By contrast a</w:t>
      </w:r>
      <w:r w:rsidRPr="00D14230" w:rsidR="00B61C02">
        <w:rPr>
          <w:rFonts w:ascii="Arial" w:hAnsi="Arial" w:cs="Arial"/>
          <w:sz w:val="26"/>
          <w:szCs w:val="26"/>
        </w:rPr>
        <w:t>cademies have been required to fund any in-year increases from their own resources.</w:t>
      </w:r>
      <w:r w:rsidR="00B61C02">
        <w:rPr>
          <w:rFonts w:ascii="Arial" w:hAnsi="Arial" w:cs="Arial"/>
          <w:sz w:val="26"/>
          <w:szCs w:val="26"/>
        </w:rPr>
        <w:t xml:space="preserve"> C</w:t>
      </w:r>
      <w:r w:rsidRPr="00F05C52" w:rsidR="00B61C02">
        <w:rPr>
          <w:rFonts w:ascii="Arial" w:hAnsi="Arial" w:cs="Arial"/>
          <w:sz w:val="26"/>
          <w:szCs w:val="26"/>
        </w:rPr>
        <w:t xml:space="preserve">laims </w:t>
      </w:r>
      <w:r w:rsidR="00B61C02">
        <w:rPr>
          <w:rFonts w:ascii="Arial" w:hAnsi="Arial" w:cs="Arial"/>
          <w:sz w:val="26"/>
          <w:szCs w:val="26"/>
        </w:rPr>
        <w:t xml:space="preserve">for </w:t>
      </w:r>
      <w:r w:rsidR="00611AE3">
        <w:rPr>
          <w:rFonts w:ascii="Arial" w:hAnsi="Arial" w:cs="Arial"/>
          <w:sz w:val="26"/>
          <w:szCs w:val="26"/>
        </w:rPr>
        <w:t xml:space="preserve">support </w:t>
      </w:r>
      <w:r w:rsidR="00B61C02">
        <w:rPr>
          <w:rFonts w:ascii="Arial" w:hAnsi="Arial" w:cs="Arial"/>
          <w:sz w:val="26"/>
          <w:szCs w:val="26"/>
        </w:rPr>
        <w:t xml:space="preserve">would only be considered eligible </w:t>
      </w:r>
      <w:r w:rsidRPr="00F05C52" w:rsidR="00B61C02">
        <w:rPr>
          <w:rFonts w:ascii="Arial" w:hAnsi="Arial" w:cs="Arial"/>
          <w:sz w:val="26"/>
          <w:szCs w:val="26"/>
        </w:rPr>
        <w:t xml:space="preserve">where the </w:t>
      </w:r>
      <w:r w:rsidR="00B61C02">
        <w:rPr>
          <w:rFonts w:ascii="Arial" w:hAnsi="Arial" w:cs="Arial"/>
          <w:sz w:val="26"/>
          <w:szCs w:val="26"/>
        </w:rPr>
        <w:t xml:space="preserve">increase </w:t>
      </w:r>
      <w:r w:rsidR="00611AE3">
        <w:rPr>
          <w:rFonts w:ascii="Arial" w:hAnsi="Arial" w:cs="Arial"/>
          <w:sz w:val="26"/>
          <w:szCs w:val="26"/>
        </w:rPr>
        <w:t xml:space="preserve">in pupil numbers </w:t>
      </w:r>
      <w:r w:rsidR="00B61C02">
        <w:rPr>
          <w:rFonts w:ascii="Arial" w:hAnsi="Arial" w:cs="Arial"/>
          <w:sz w:val="26"/>
          <w:szCs w:val="26"/>
        </w:rPr>
        <w:t xml:space="preserve">arose as a direct consequence of the </w:t>
      </w:r>
      <w:r w:rsidRPr="00F05C52" w:rsidR="00B61C02">
        <w:rPr>
          <w:rFonts w:ascii="Arial" w:hAnsi="Arial" w:cs="Arial"/>
          <w:sz w:val="26"/>
          <w:szCs w:val="26"/>
        </w:rPr>
        <w:t>A</w:t>
      </w:r>
      <w:r w:rsidR="00B61C02">
        <w:rPr>
          <w:rFonts w:ascii="Arial" w:hAnsi="Arial" w:cs="Arial"/>
          <w:sz w:val="26"/>
          <w:szCs w:val="26"/>
        </w:rPr>
        <w:t xml:space="preserve">uthority requiring an academy </w:t>
      </w:r>
      <w:r w:rsidRPr="00F05C52" w:rsidR="00B61C02">
        <w:rPr>
          <w:rFonts w:ascii="Arial" w:hAnsi="Arial" w:cs="Arial"/>
          <w:sz w:val="26"/>
          <w:szCs w:val="26"/>
        </w:rPr>
        <w:t xml:space="preserve">to admit a significant number of children. </w:t>
      </w:r>
      <w:r w:rsidR="003D30CD">
        <w:rPr>
          <w:rFonts w:ascii="Arial" w:hAnsi="Arial" w:cs="Arial"/>
          <w:sz w:val="26"/>
          <w:szCs w:val="26"/>
        </w:rPr>
        <w:t xml:space="preserve"> </w:t>
      </w:r>
      <w:r w:rsidR="00B61C02">
        <w:rPr>
          <w:rFonts w:ascii="Arial" w:hAnsi="Arial" w:cs="Arial"/>
          <w:sz w:val="26"/>
          <w:szCs w:val="26"/>
        </w:rPr>
        <w:t xml:space="preserve">The potential need for support arises from the </w:t>
      </w:r>
      <w:r w:rsidRPr="00F05C52" w:rsidR="00B61C02">
        <w:rPr>
          <w:rFonts w:ascii="Arial" w:hAnsi="Arial" w:cs="Arial"/>
          <w:sz w:val="26"/>
          <w:szCs w:val="26"/>
        </w:rPr>
        <w:t xml:space="preserve">lagged </w:t>
      </w:r>
      <w:r w:rsidR="00B61C02">
        <w:rPr>
          <w:rFonts w:ascii="Arial" w:hAnsi="Arial" w:cs="Arial"/>
          <w:sz w:val="26"/>
          <w:szCs w:val="26"/>
        </w:rPr>
        <w:t xml:space="preserve">nature of the academies’ funding.  </w:t>
      </w:r>
      <w:r w:rsidR="00136D10">
        <w:rPr>
          <w:rFonts w:ascii="Arial" w:hAnsi="Arial" w:cs="Arial"/>
          <w:sz w:val="26"/>
          <w:szCs w:val="26"/>
        </w:rPr>
        <w:t>C</w:t>
      </w:r>
      <w:r w:rsidRPr="00F05C52" w:rsidR="00B61C02">
        <w:rPr>
          <w:rFonts w:ascii="Arial" w:hAnsi="Arial" w:cs="Arial"/>
          <w:sz w:val="26"/>
          <w:szCs w:val="26"/>
        </w:rPr>
        <w:t>hildren admitted in September 201</w:t>
      </w:r>
      <w:r w:rsidR="005B201E">
        <w:rPr>
          <w:rFonts w:ascii="Arial" w:hAnsi="Arial" w:cs="Arial"/>
          <w:sz w:val="26"/>
          <w:szCs w:val="26"/>
        </w:rPr>
        <w:t>8</w:t>
      </w:r>
      <w:r w:rsidRPr="00F05C52" w:rsidR="00B61C02">
        <w:rPr>
          <w:rFonts w:ascii="Arial" w:hAnsi="Arial" w:cs="Arial"/>
          <w:sz w:val="26"/>
          <w:szCs w:val="26"/>
        </w:rPr>
        <w:t xml:space="preserve"> would not generate additional funding until the start of the 201</w:t>
      </w:r>
      <w:r w:rsidR="005B201E">
        <w:rPr>
          <w:rFonts w:ascii="Arial" w:hAnsi="Arial" w:cs="Arial"/>
          <w:sz w:val="26"/>
          <w:szCs w:val="26"/>
        </w:rPr>
        <w:t>9</w:t>
      </w:r>
      <w:r w:rsidRPr="00F05C52" w:rsidR="00B61C02">
        <w:rPr>
          <w:rFonts w:ascii="Arial" w:hAnsi="Arial" w:cs="Arial"/>
          <w:sz w:val="26"/>
          <w:szCs w:val="26"/>
        </w:rPr>
        <w:t>/</w:t>
      </w:r>
      <w:r w:rsidR="005B201E">
        <w:rPr>
          <w:rFonts w:ascii="Arial" w:hAnsi="Arial" w:cs="Arial"/>
          <w:sz w:val="26"/>
          <w:szCs w:val="26"/>
        </w:rPr>
        <w:t>20</w:t>
      </w:r>
      <w:r w:rsidRPr="00F05C52" w:rsidR="00B61C02">
        <w:rPr>
          <w:rFonts w:ascii="Arial" w:hAnsi="Arial" w:cs="Arial"/>
          <w:sz w:val="26"/>
          <w:szCs w:val="26"/>
        </w:rPr>
        <w:t xml:space="preserve"> academic year</w:t>
      </w:r>
      <w:r w:rsidR="00B61C02">
        <w:rPr>
          <w:rFonts w:ascii="Arial" w:hAnsi="Arial" w:cs="Arial"/>
          <w:sz w:val="26"/>
          <w:szCs w:val="26"/>
        </w:rPr>
        <w:t>, leaving the academy to meet any additional costs for a full financial year</w:t>
      </w:r>
      <w:r w:rsidR="00136D10">
        <w:rPr>
          <w:rFonts w:ascii="Arial" w:hAnsi="Arial" w:cs="Arial"/>
          <w:sz w:val="26"/>
          <w:szCs w:val="26"/>
        </w:rPr>
        <w:t xml:space="preserve">, whereas the </w:t>
      </w:r>
      <w:r w:rsidR="00611AE3">
        <w:rPr>
          <w:rFonts w:ascii="Arial" w:hAnsi="Arial" w:cs="Arial"/>
          <w:sz w:val="26"/>
          <w:szCs w:val="26"/>
        </w:rPr>
        <w:t xml:space="preserve">equivalent </w:t>
      </w:r>
      <w:r w:rsidR="00136D10">
        <w:rPr>
          <w:rFonts w:ascii="Arial" w:hAnsi="Arial" w:cs="Arial"/>
          <w:sz w:val="26"/>
          <w:szCs w:val="26"/>
        </w:rPr>
        <w:t>impact on a school is for seven months i.e. to the following April.</w:t>
      </w:r>
    </w:p>
    <w:p w:rsidR="005B201E" w:rsidP="005B201E" w:rsidRDefault="005B201E">
      <w:pPr>
        <w:ind w:left="284"/>
        <w:rPr>
          <w:rFonts w:ascii="Arial" w:hAnsi="Arial" w:cs="Arial"/>
          <w:sz w:val="26"/>
          <w:szCs w:val="26"/>
        </w:rPr>
      </w:pPr>
    </w:p>
    <w:p w:rsidR="0096402A" w:rsidP="0096402A" w:rsidRDefault="005B201E">
      <w:pPr>
        <w:ind w:left="284"/>
        <w:rPr>
          <w:rFonts w:ascii="Arial" w:hAnsi="Arial" w:cs="Arial"/>
          <w:sz w:val="26"/>
          <w:szCs w:val="26"/>
        </w:rPr>
      </w:pPr>
      <w:r>
        <w:rPr>
          <w:rFonts w:ascii="Arial" w:hAnsi="Arial" w:cs="Arial"/>
          <w:sz w:val="26"/>
          <w:szCs w:val="26"/>
        </w:rPr>
        <w:t>Following a meeting of the Schools Forum in December 2017 it was agreed to retain a small fund of £0.1m to meet such costs</w:t>
      </w:r>
      <w:r w:rsidR="006C396D">
        <w:rPr>
          <w:rFonts w:ascii="Arial" w:hAnsi="Arial" w:cs="Arial"/>
          <w:sz w:val="26"/>
          <w:szCs w:val="26"/>
        </w:rPr>
        <w:t xml:space="preserve"> from academies</w:t>
      </w:r>
      <w:r>
        <w:rPr>
          <w:rFonts w:ascii="Arial" w:hAnsi="Arial" w:cs="Arial"/>
          <w:sz w:val="26"/>
          <w:szCs w:val="26"/>
        </w:rPr>
        <w:t xml:space="preserve">. In </w:t>
      </w:r>
      <w:r w:rsidR="0096402A">
        <w:rPr>
          <w:rFonts w:ascii="Arial" w:hAnsi="Arial" w:cs="Arial"/>
          <w:sz w:val="26"/>
          <w:szCs w:val="26"/>
        </w:rPr>
        <w:t xml:space="preserve">order to ensure that both schools and academies are treated equitably it is proposed that the </w:t>
      </w:r>
      <w:r w:rsidR="00760B1F">
        <w:rPr>
          <w:rFonts w:ascii="Arial" w:hAnsi="Arial" w:cs="Arial"/>
          <w:sz w:val="26"/>
          <w:szCs w:val="26"/>
        </w:rPr>
        <w:t xml:space="preserve">LA’s pupil growth </w:t>
      </w:r>
      <w:r w:rsidR="0096402A">
        <w:rPr>
          <w:rFonts w:ascii="Arial" w:hAnsi="Arial" w:cs="Arial"/>
          <w:sz w:val="26"/>
          <w:szCs w:val="26"/>
        </w:rPr>
        <w:t>fund be applied to both groups from April 2019. Support would be limited to where the Authority has required the school or academy to admit a significant number of children. Any claims for support would be carefully vetted with an expectation that the relevant institution should meet some of the extra costs from its own resources. Institutions would be normally expected to fund a sum equivalent to 1% of their Schools Block budget. Costs above this threshold, net of the 1% deduction, would be eligible for consideration for support.</w:t>
      </w:r>
      <w:r w:rsidR="00760B1F">
        <w:rPr>
          <w:rFonts w:ascii="Arial" w:hAnsi="Arial" w:cs="Arial"/>
          <w:sz w:val="26"/>
          <w:szCs w:val="26"/>
        </w:rPr>
        <w:t xml:space="preserve"> </w:t>
      </w:r>
      <w:r w:rsidRPr="00D14230" w:rsidR="0096402A">
        <w:rPr>
          <w:rFonts w:ascii="Arial" w:hAnsi="Arial" w:cs="Arial"/>
          <w:sz w:val="26"/>
          <w:szCs w:val="26"/>
        </w:rPr>
        <w:t xml:space="preserve">Even </w:t>
      </w:r>
      <w:r w:rsidR="0096402A">
        <w:rPr>
          <w:rFonts w:ascii="Arial" w:hAnsi="Arial" w:cs="Arial"/>
          <w:sz w:val="26"/>
          <w:szCs w:val="26"/>
        </w:rPr>
        <w:t>if th</w:t>
      </w:r>
      <w:r w:rsidR="00611AE3">
        <w:rPr>
          <w:rFonts w:ascii="Arial" w:hAnsi="Arial" w:cs="Arial"/>
          <w:sz w:val="26"/>
          <w:szCs w:val="26"/>
        </w:rPr>
        <w:t>e</w:t>
      </w:r>
      <w:r w:rsidR="0096402A">
        <w:rPr>
          <w:rFonts w:ascii="Arial" w:hAnsi="Arial" w:cs="Arial"/>
          <w:sz w:val="26"/>
          <w:szCs w:val="26"/>
        </w:rPr>
        <w:t xml:space="preserve"> 1% test were met, </w:t>
      </w:r>
      <w:r w:rsidRPr="00D14230" w:rsidR="0096402A">
        <w:rPr>
          <w:rFonts w:ascii="Arial" w:hAnsi="Arial" w:cs="Arial"/>
          <w:sz w:val="26"/>
          <w:szCs w:val="26"/>
        </w:rPr>
        <w:t xml:space="preserve">the starting presumption would be that the </w:t>
      </w:r>
      <w:r w:rsidR="0096402A">
        <w:rPr>
          <w:rFonts w:ascii="Arial" w:hAnsi="Arial" w:cs="Arial"/>
          <w:sz w:val="26"/>
          <w:szCs w:val="26"/>
        </w:rPr>
        <w:t xml:space="preserve">institution </w:t>
      </w:r>
      <w:r w:rsidRPr="00D14230" w:rsidR="0096402A">
        <w:rPr>
          <w:rFonts w:ascii="Arial" w:hAnsi="Arial" w:cs="Arial"/>
          <w:sz w:val="26"/>
          <w:szCs w:val="26"/>
        </w:rPr>
        <w:t xml:space="preserve">would absorb </w:t>
      </w:r>
      <w:r w:rsidR="0096402A">
        <w:rPr>
          <w:rFonts w:ascii="Arial" w:hAnsi="Arial" w:cs="Arial"/>
          <w:sz w:val="26"/>
          <w:szCs w:val="26"/>
        </w:rPr>
        <w:t xml:space="preserve">all </w:t>
      </w:r>
      <w:r w:rsidRPr="00D14230" w:rsidR="0096402A">
        <w:rPr>
          <w:rFonts w:ascii="Arial" w:hAnsi="Arial" w:cs="Arial"/>
          <w:sz w:val="26"/>
          <w:szCs w:val="26"/>
        </w:rPr>
        <w:t>the additional costs with any support being subject to rigorous scrutiny, including an assessment of:</w:t>
      </w:r>
    </w:p>
    <w:p w:rsidR="0096402A" w:rsidP="0096402A" w:rsidRDefault="0096402A">
      <w:pPr>
        <w:pStyle w:val="ListParagraph"/>
        <w:ind w:left="1134"/>
        <w:rPr>
          <w:rFonts w:ascii="Arial" w:hAnsi="Arial" w:cs="Arial"/>
          <w:sz w:val="26"/>
          <w:szCs w:val="26"/>
        </w:rPr>
      </w:pPr>
    </w:p>
    <w:p w:rsidRPr="00D14230" w:rsidR="00AA7E53" w:rsidP="00AA7E53" w:rsidRDefault="00AA7E53">
      <w:pPr>
        <w:pStyle w:val="ListParagraph"/>
        <w:numPr>
          <w:ilvl w:val="0"/>
          <w:numId w:val="8"/>
        </w:numPr>
        <w:ind w:left="1134"/>
        <w:rPr>
          <w:rFonts w:ascii="Arial" w:hAnsi="Arial" w:cs="Arial"/>
          <w:sz w:val="26"/>
          <w:szCs w:val="26"/>
        </w:rPr>
      </w:pPr>
      <w:r w:rsidRPr="00D14230">
        <w:rPr>
          <w:rFonts w:ascii="Arial" w:hAnsi="Arial" w:cs="Arial"/>
          <w:sz w:val="26"/>
          <w:szCs w:val="26"/>
        </w:rPr>
        <w:t xml:space="preserve">The </w:t>
      </w:r>
      <w:r>
        <w:rPr>
          <w:rFonts w:ascii="Arial" w:hAnsi="Arial" w:cs="Arial"/>
          <w:sz w:val="26"/>
          <w:szCs w:val="26"/>
        </w:rPr>
        <w:t xml:space="preserve">actual </w:t>
      </w:r>
      <w:r w:rsidRPr="00D14230">
        <w:rPr>
          <w:rFonts w:ascii="Arial" w:hAnsi="Arial" w:cs="Arial"/>
          <w:sz w:val="26"/>
          <w:szCs w:val="26"/>
        </w:rPr>
        <w:t xml:space="preserve">cost of the pupils, relative to the size of the </w:t>
      </w:r>
      <w:r w:rsidR="0096402A">
        <w:rPr>
          <w:rFonts w:ascii="Arial" w:hAnsi="Arial" w:cs="Arial"/>
          <w:sz w:val="26"/>
          <w:szCs w:val="26"/>
        </w:rPr>
        <w:t xml:space="preserve">institution’s </w:t>
      </w:r>
      <w:r w:rsidRPr="00D14230">
        <w:rPr>
          <w:rFonts w:ascii="Arial" w:hAnsi="Arial" w:cs="Arial"/>
          <w:sz w:val="26"/>
          <w:szCs w:val="26"/>
        </w:rPr>
        <w:t>budget; and</w:t>
      </w:r>
    </w:p>
    <w:p w:rsidRPr="00D14230" w:rsidR="00AA7E53" w:rsidP="00AA7E53" w:rsidRDefault="00AA7E53">
      <w:pPr>
        <w:pStyle w:val="ListParagraph"/>
        <w:numPr>
          <w:ilvl w:val="0"/>
          <w:numId w:val="8"/>
        </w:numPr>
        <w:ind w:left="1134"/>
        <w:rPr>
          <w:rFonts w:ascii="Arial" w:hAnsi="Arial" w:cs="Arial"/>
          <w:sz w:val="26"/>
          <w:szCs w:val="26"/>
        </w:rPr>
      </w:pPr>
      <w:r w:rsidRPr="00D14230">
        <w:rPr>
          <w:rFonts w:ascii="Arial" w:hAnsi="Arial" w:cs="Arial"/>
          <w:sz w:val="26"/>
          <w:szCs w:val="26"/>
        </w:rPr>
        <w:t xml:space="preserve">The </w:t>
      </w:r>
      <w:r w:rsidR="0096402A">
        <w:rPr>
          <w:rFonts w:ascii="Arial" w:hAnsi="Arial" w:cs="Arial"/>
          <w:sz w:val="26"/>
          <w:szCs w:val="26"/>
        </w:rPr>
        <w:t xml:space="preserve">institution’s </w:t>
      </w:r>
      <w:r w:rsidRPr="00D14230">
        <w:rPr>
          <w:rFonts w:ascii="Arial" w:hAnsi="Arial" w:cs="Arial"/>
          <w:sz w:val="26"/>
          <w:szCs w:val="26"/>
        </w:rPr>
        <w:t>current/forecast balances.</w:t>
      </w:r>
    </w:p>
    <w:p w:rsidR="0096402A" w:rsidP="0096402A" w:rsidRDefault="0096402A">
      <w:pPr>
        <w:ind w:left="284"/>
        <w:rPr>
          <w:rFonts w:ascii="Arial" w:hAnsi="Arial" w:cs="Arial"/>
          <w:sz w:val="26"/>
          <w:szCs w:val="26"/>
        </w:rPr>
      </w:pPr>
    </w:p>
    <w:p w:rsidR="005B201E" w:rsidP="0096402A" w:rsidRDefault="0096402A">
      <w:pPr>
        <w:ind w:left="284"/>
        <w:rPr>
          <w:rFonts w:ascii="Arial" w:hAnsi="Arial" w:cs="Arial"/>
          <w:sz w:val="26"/>
          <w:szCs w:val="26"/>
        </w:rPr>
      </w:pPr>
      <w:r>
        <w:rPr>
          <w:rFonts w:ascii="Arial" w:hAnsi="Arial" w:cs="Arial"/>
          <w:sz w:val="26"/>
          <w:szCs w:val="26"/>
        </w:rPr>
        <w:t>At this stage it is impossible to predict the level of claims in 2019-20</w:t>
      </w:r>
      <w:r w:rsidR="00753F5A">
        <w:rPr>
          <w:rFonts w:ascii="Arial" w:hAnsi="Arial" w:cs="Arial"/>
          <w:sz w:val="26"/>
          <w:szCs w:val="26"/>
        </w:rPr>
        <w:t xml:space="preserve">. However, </w:t>
      </w:r>
      <w:r>
        <w:rPr>
          <w:rFonts w:ascii="Arial" w:hAnsi="Arial" w:cs="Arial"/>
          <w:sz w:val="26"/>
          <w:szCs w:val="26"/>
        </w:rPr>
        <w:t xml:space="preserve">given </w:t>
      </w:r>
      <w:r w:rsidR="00753F5A">
        <w:rPr>
          <w:rFonts w:ascii="Arial" w:hAnsi="Arial" w:cs="Arial"/>
          <w:sz w:val="26"/>
          <w:szCs w:val="26"/>
        </w:rPr>
        <w:t xml:space="preserve">the proposal to </w:t>
      </w:r>
      <w:r>
        <w:rPr>
          <w:rFonts w:ascii="Arial" w:hAnsi="Arial" w:cs="Arial"/>
          <w:sz w:val="26"/>
          <w:szCs w:val="26"/>
        </w:rPr>
        <w:t>widen</w:t>
      </w:r>
      <w:r w:rsidR="00753F5A">
        <w:rPr>
          <w:rFonts w:ascii="Arial" w:hAnsi="Arial" w:cs="Arial"/>
          <w:sz w:val="26"/>
          <w:szCs w:val="26"/>
        </w:rPr>
        <w:t xml:space="preserve"> </w:t>
      </w:r>
      <w:r>
        <w:rPr>
          <w:rFonts w:ascii="Arial" w:hAnsi="Arial" w:cs="Arial"/>
          <w:sz w:val="26"/>
          <w:szCs w:val="26"/>
        </w:rPr>
        <w:t>support to include all eligible institutions, it would be prudent to increase this fund to £0.25</w:t>
      </w:r>
      <w:r w:rsidR="00611AE3">
        <w:rPr>
          <w:rFonts w:ascii="Arial" w:hAnsi="Arial" w:cs="Arial"/>
          <w:sz w:val="26"/>
          <w:szCs w:val="26"/>
        </w:rPr>
        <w:t>0</w:t>
      </w:r>
      <w:r>
        <w:rPr>
          <w:rFonts w:ascii="Arial" w:hAnsi="Arial" w:cs="Arial"/>
          <w:sz w:val="26"/>
          <w:szCs w:val="26"/>
        </w:rPr>
        <w:t xml:space="preserve">m for 2019-20. The size of the fund </w:t>
      </w:r>
      <w:r w:rsidR="00753F5A">
        <w:rPr>
          <w:rFonts w:ascii="Arial" w:hAnsi="Arial" w:cs="Arial"/>
          <w:sz w:val="26"/>
          <w:szCs w:val="26"/>
        </w:rPr>
        <w:t xml:space="preserve">beyond 2019-20 </w:t>
      </w:r>
      <w:r>
        <w:rPr>
          <w:rFonts w:ascii="Arial" w:hAnsi="Arial" w:cs="Arial"/>
          <w:sz w:val="26"/>
          <w:szCs w:val="26"/>
        </w:rPr>
        <w:t>will be review</w:t>
      </w:r>
      <w:r w:rsidR="00753F5A">
        <w:rPr>
          <w:rFonts w:ascii="Arial" w:hAnsi="Arial" w:cs="Arial"/>
          <w:sz w:val="26"/>
          <w:szCs w:val="26"/>
        </w:rPr>
        <w:t>e</w:t>
      </w:r>
      <w:r>
        <w:rPr>
          <w:rFonts w:ascii="Arial" w:hAnsi="Arial" w:cs="Arial"/>
          <w:sz w:val="26"/>
          <w:szCs w:val="26"/>
        </w:rPr>
        <w:t>d in the light of claims experience and the level of pupil growth funding from the DfE.</w:t>
      </w:r>
    </w:p>
    <w:p w:rsidRPr="005B201E" w:rsidR="005B201E" w:rsidP="00CE3D68" w:rsidRDefault="005B201E">
      <w:pPr>
        <w:ind w:left="284"/>
        <w:rPr>
          <w:rFonts w:ascii="Arial" w:hAnsi="Arial" w:cs="Arial"/>
          <w:b/>
          <w:sz w:val="26"/>
          <w:szCs w:val="26"/>
        </w:rPr>
      </w:pPr>
      <w:r w:rsidRPr="005B201E">
        <w:rPr>
          <w:rFonts w:ascii="Arial" w:hAnsi="Arial" w:cs="Arial"/>
          <w:b/>
          <w:sz w:val="26"/>
          <w:szCs w:val="26"/>
        </w:rPr>
        <w:lastRenderedPageBreak/>
        <w:t>2.2.2</w:t>
      </w:r>
      <w:r w:rsidRPr="005B201E">
        <w:rPr>
          <w:rFonts w:ascii="Arial" w:hAnsi="Arial" w:cs="Arial"/>
          <w:b/>
          <w:sz w:val="26"/>
          <w:szCs w:val="26"/>
        </w:rPr>
        <w:tab/>
      </w:r>
      <w:r w:rsidRPr="005B201E">
        <w:rPr>
          <w:rFonts w:ascii="Arial" w:hAnsi="Arial" w:cs="Arial"/>
          <w:b/>
          <w:sz w:val="26"/>
          <w:szCs w:val="26"/>
          <w:u w:val="single"/>
        </w:rPr>
        <w:t>New Free Schools</w:t>
      </w:r>
    </w:p>
    <w:p w:rsidR="004D78DF" w:rsidP="00CE3D68" w:rsidRDefault="004D78DF">
      <w:pPr>
        <w:ind w:left="284"/>
        <w:rPr>
          <w:rFonts w:ascii="Arial" w:hAnsi="Arial" w:cs="Arial"/>
          <w:sz w:val="26"/>
          <w:szCs w:val="26"/>
        </w:rPr>
      </w:pPr>
    </w:p>
    <w:p w:rsidR="004E36D1" w:rsidP="00CE3D68" w:rsidRDefault="00141CA2">
      <w:pPr>
        <w:ind w:left="284"/>
        <w:rPr>
          <w:rFonts w:ascii="Arial" w:hAnsi="Arial" w:cs="Arial"/>
          <w:sz w:val="26"/>
          <w:szCs w:val="26"/>
        </w:rPr>
      </w:pPr>
      <w:r>
        <w:rPr>
          <w:rFonts w:ascii="Arial" w:hAnsi="Arial" w:cs="Arial"/>
          <w:sz w:val="26"/>
          <w:szCs w:val="26"/>
        </w:rPr>
        <w:t xml:space="preserve">Two new primary </w:t>
      </w:r>
      <w:r w:rsidR="000022E3">
        <w:rPr>
          <w:rFonts w:ascii="Arial" w:hAnsi="Arial" w:cs="Arial"/>
          <w:sz w:val="26"/>
          <w:szCs w:val="26"/>
        </w:rPr>
        <w:t xml:space="preserve">free </w:t>
      </w:r>
      <w:r>
        <w:rPr>
          <w:rFonts w:ascii="Arial" w:hAnsi="Arial" w:cs="Arial"/>
          <w:sz w:val="26"/>
          <w:szCs w:val="26"/>
        </w:rPr>
        <w:t>schools at Hilton and Chellaston are due to open in September 2019</w:t>
      </w:r>
      <w:r w:rsidR="00B2238A">
        <w:rPr>
          <w:rFonts w:ascii="Arial" w:hAnsi="Arial" w:cs="Arial"/>
          <w:sz w:val="26"/>
          <w:szCs w:val="26"/>
        </w:rPr>
        <w:t xml:space="preserve"> with a further two, Boulton Moor and Highfields Farm</w:t>
      </w:r>
      <w:r w:rsidR="00E67CE9">
        <w:rPr>
          <w:rFonts w:ascii="Arial" w:hAnsi="Arial" w:cs="Arial"/>
          <w:sz w:val="26"/>
          <w:szCs w:val="26"/>
        </w:rPr>
        <w:t>,</w:t>
      </w:r>
      <w:r w:rsidR="00B2238A">
        <w:rPr>
          <w:rFonts w:ascii="Arial" w:hAnsi="Arial" w:cs="Arial"/>
          <w:sz w:val="26"/>
          <w:szCs w:val="26"/>
        </w:rPr>
        <w:t xml:space="preserve"> set to open in September 2020</w:t>
      </w:r>
      <w:r>
        <w:rPr>
          <w:rFonts w:ascii="Arial" w:hAnsi="Arial" w:cs="Arial"/>
          <w:sz w:val="26"/>
          <w:szCs w:val="26"/>
        </w:rPr>
        <w:t xml:space="preserve">. </w:t>
      </w:r>
      <w:r w:rsidR="00753F5A">
        <w:rPr>
          <w:rFonts w:ascii="Arial" w:hAnsi="Arial" w:cs="Arial"/>
          <w:sz w:val="26"/>
          <w:szCs w:val="26"/>
        </w:rPr>
        <w:t xml:space="preserve">In terms of </w:t>
      </w:r>
      <w:r w:rsidR="00E67CE9">
        <w:rPr>
          <w:rFonts w:ascii="Arial" w:hAnsi="Arial" w:cs="Arial"/>
          <w:sz w:val="26"/>
          <w:szCs w:val="26"/>
        </w:rPr>
        <w:t xml:space="preserve">the </w:t>
      </w:r>
      <w:r w:rsidR="00753F5A">
        <w:rPr>
          <w:rFonts w:ascii="Arial" w:hAnsi="Arial" w:cs="Arial"/>
          <w:sz w:val="26"/>
          <w:szCs w:val="26"/>
        </w:rPr>
        <w:t>mainstream Schools Block funding</w:t>
      </w:r>
      <w:r w:rsidR="00B2238A">
        <w:rPr>
          <w:rFonts w:ascii="Arial" w:hAnsi="Arial" w:cs="Arial"/>
          <w:sz w:val="26"/>
          <w:szCs w:val="26"/>
        </w:rPr>
        <w:t xml:space="preserve"> driven by the National Funding Formula, </w:t>
      </w:r>
      <w:r w:rsidR="004E36D1">
        <w:rPr>
          <w:rFonts w:ascii="Arial" w:hAnsi="Arial" w:cs="Arial"/>
          <w:sz w:val="26"/>
          <w:szCs w:val="26"/>
        </w:rPr>
        <w:t xml:space="preserve">the process works as follows. </w:t>
      </w:r>
    </w:p>
    <w:p w:rsidR="004E36D1" w:rsidP="00CE3D68" w:rsidRDefault="004E36D1">
      <w:pPr>
        <w:ind w:left="284"/>
        <w:rPr>
          <w:rFonts w:ascii="Arial" w:hAnsi="Arial" w:cs="Arial"/>
          <w:sz w:val="26"/>
          <w:szCs w:val="26"/>
        </w:rPr>
      </w:pPr>
    </w:p>
    <w:p w:rsidR="00753F5A" w:rsidP="00CE3D68" w:rsidRDefault="00F2764B">
      <w:pPr>
        <w:ind w:left="284"/>
        <w:rPr>
          <w:rFonts w:ascii="Arial" w:hAnsi="Arial" w:cs="Arial"/>
          <w:sz w:val="26"/>
          <w:szCs w:val="26"/>
        </w:rPr>
      </w:pPr>
      <w:r>
        <w:rPr>
          <w:rFonts w:ascii="Arial" w:hAnsi="Arial" w:cs="Arial"/>
          <w:sz w:val="26"/>
          <w:szCs w:val="26"/>
        </w:rPr>
        <w:t xml:space="preserve">As an </w:t>
      </w:r>
      <w:r w:rsidR="008A7F3D">
        <w:rPr>
          <w:rFonts w:ascii="Arial" w:hAnsi="Arial" w:cs="Arial"/>
          <w:sz w:val="26"/>
          <w:szCs w:val="26"/>
        </w:rPr>
        <w:t xml:space="preserve">example, </w:t>
      </w:r>
      <w:r>
        <w:rPr>
          <w:rFonts w:ascii="Arial" w:hAnsi="Arial" w:cs="Arial"/>
          <w:sz w:val="26"/>
          <w:szCs w:val="26"/>
        </w:rPr>
        <w:t xml:space="preserve">it is assumed that </w:t>
      </w:r>
      <w:r w:rsidR="008A7F3D">
        <w:rPr>
          <w:rFonts w:ascii="Arial" w:hAnsi="Arial" w:cs="Arial"/>
          <w:sz w:val="26"/>
          <w:szCs w:val="26"/>
        </w:rPr>
        <w:t xml:space="preserve">on opening </w:t>
      </w:r>
      <w:r>
        <w:rPr>
          <w:rFonts w:ascii="Arial" w:hAnsi="Arial" w:cs="Arial"/>
          <w:sz w:val="26"/>
          <w:szCs w:val="26"/>
        </w:rPr>
        <w:t xml:space="preserve">(“Year 1”) </w:t>
      </w:r>
      <w:r w:rsidR="008A7F3D">
        <w:rPr>
          <w:rFonts w:ascii="Arial" w:hAnsi="Arial" w:cs="Arial"/>
          <w:sz w:val="26"/>
          <w:szCs w:val="26"/>
        </w:rPr>
        <w:t>a</w:t>
      </w:r>
      <w:r w:rsidR="004E36D1">
        <w:rPr>
          <w:rFonts w:ascii="Arial" w:hAnsi="Arial" w:cs="Arial"/>
          <w:sz w:val="26"/>
          <w:szCs w:val="26"/>
        </w:rPr>
        <w:t xml:space="preserve"> school admit</w:t>
      </w:r>
      <w:r w:rsidR="008A7F3D">
        <w:rPr>
          <w:rFonts w:ascii="Arial" w:hAnsi="Arial" w:cs="Arial"/>
          <w:sz w:val="26"/>
          <w:szCs w:val="26"/>
        </w:rPr>
        <w:t xml:space="preserve">s </w:t>
      </w:r>
      <w:r w:rsidR="004E36D1">
        <w:rPr>
          <w:rFonts w:ascii="Arial" w:hAnsi="Arial" w:cs="Arial"/>
          <w:sz w:val="26"/>
          <w:szCs w:val="26"/>
        </w:rPr>
        <w:t xml:space="preserve">30 pupils for the first time in September 2019. These pupils will trigger DSG funding for Financial Year (FY) 2020-21, leaving the </w:t>
      </w:r>
      <w:r w:rsidR="00C65DD0">
        <w:rPr>
          <w:rFonts w:ascii="Arial" w:hAnsi="Arial" w:cs="Arial"/>
          <w:sz w:val="26"/>
          <w:szCs w:val="26"/>
        </w:rPr>
        <w:t xml:space="preserve">growth fund </w:t>
      </w:r>
      <w:r w:rsidR="004E36D1">
        <w:rPr>
          <w:rFonts w:ascii="Arial" w:hAnsi="Arial" w:cs="Arial"/>
          <w:sz w:val="26"/>
          <w:szCs w:val="26"/>
        </w:rPr>
        <w:t xml:space="preserve">to </w:t>
      </w:r>
      <w:r w:rsidR="00C65DD0">
        <w:rPr>
          <w:rFonts w:ascii="Arial" w:hAnsi="Arial" w:cs="Arial"/>
          <w:sz w:val="26"/>
          <w:szCs w:val="26"/>
        </w:rPr>
        <w:t xml:space="preserve">meet </w:t>
      </w:r>
      <w:r w:rsidR="004E36D1">
        <w:rPr>
          <w:rFonts w:ascii="Arial" w:hAnsi="Arial" w:cs="Arial"/>
          <w:sz w:val="26"/>
          <w:szCs w:val="26"/>
        </w:rPr>
        <w:t xml:space="preserve">the financial support </w:t>
      </w:r>
      <w:r w:rsidR="00BD0F25">
        <w:rPr>
          <w:rFonts w:ascii="Arial" w:hAnsi="Arial" w:cs="Arial"/>
          <w:sz w:val="26"/>
          <w:szCs w:val="26"/>
        </w:rPr>
        <w:t xml:space="preserve">costs </w:t>
      </w:r>
      <w:r w:rsidR="004E36D1">
        <w:rPr>
          <w:rFonts w:ascii="Arial" w:hAnsi="Arial" w:cs="Arial"/>
          <w:sz w:val="26"/>
          <w:szCs w:val="26"/>
        </w:rPr>
        <w:t>for the period September 2019-March 2020.</w:t>
      </w:r>
    </w:p>
    <w:p w:rsidR="004E36D1" w:rsidP="00CE3D68" w:rsidRDefault="004E36D1">
      <w:pPr>
        <w:ind w:left="284"/>
        <w:rPr>
          <w:rFonts w:ascii="Arial" w:hAnsi="Arial" w:cs="Arial"/>
          <w:sz w:val="26"/>
          <w:szCs w:val="26"/>
        </w:rPr>
      </w:pPr>
    </w:p>
    <w:p w:rsidR="008A7F3D" w:rsidP="00CE3D68" w:rsidRDefault="008A7F3D">
      <w:pPr>
        <w:ind w:left="284"/>
        <w:rPr>
          <w:rFonts w:ascii="Arial" w:hAnsi="Arial" w:cs="Arial"/>
          <w:sz w:val="26"/>
          <w:szCs w:val="26"/>
        </w:rPr>
      </w:pPr>
      <w:r>
        <w:rPr>
          <w:rFonts w:ascii="Arial" w:hAnsi="Arial" w:cs="Arial"/>
          <w:sz w:val="26"/>
          <w:szCs w:val="26"/>
        </w:rPr>
        <w:t>Similarly</w:t>
      </w:r>
      <w:r w:rsidR="00CA7D96">
        <w:rPr>
          <w:rFonts w:ascii="Arial" w:hAnsi="Arial" w:cs="Arial"/>
          <w:sz w:val="26"/>
          <w:szCs w:val="26"/>
        </w:rPr>
        <w:t>,</w:t>
      </w:r>
      <w:r>
        <w:rPr>
          <w:rFonts w:ascii="Arial" w:hAnsi="Arial" w:cs="Arial"/>
          <w:sz w:val="26"/>
          <w:szCs w:val="26"/>
        </w:rPr>
        <w:t xml:space="preserve"> i</w:t>
      </w:r>
      <w:r w:rsidR="004E36D1">
        <w:rPr>
          <w:rFonts w:ascii="Arial" w:hAnsi="Arial" w:cs="Arial"/>
          <w:sz w:val="26"/>
          <w:szCs w:val="26"/>
        </w:rPr>
        <w:t>n September 2020</w:t>
      </w:r>
      <w:r w:rsidR="00CA7D96">
        <w:rPr>
          <w:rFonts w:ascii="Arial" w:hAnsi="Arial" w:cs="Arial"/>
          <w:sz w:val="26"/>
          <w:szCs w:val="26"/>
        </w:rPr>
        <w:t xml:space="preserve"> (“</w:t>
      </w:r>
      <w:r w:rsidR="004E36D1">
        <w:rPr>
          <w:rFonts w:ascii="Arial" w:hAnsi="Arial" w:cs="Arial"/>
          <w:sz w:val="26"/>
          <w:szCs w:val="26"/>
        </w:rPr>
        <w:t>Year 2”</w:t>
      </w:r>
      <w:r w:rsidR="00CA7D96">
        <w:rPr>
          <w:rFonts w:ascii="Arial" w:hAnsi="Arial" w:cs="Arial"/>
          <w:sz w:val="26"/>
          <w:szCs w:val="26"/>
        </w:rPr>
        <w:t>)</w:t>
      </w:r>
      <w:r w:rsidR="004E36D1">
        <w:rPr>
          <w:rFonts w:ascii="Arial" w:hAnsi="Arial" w:cs="Arial"/>
          <w:sz w:val="26"/>
          <w:szCs w:val="26"/>
        </w:rPr>
        <w:t>, a further cohort of children, say 45 pupils, will be admitted who won’t trigger DSG resources until FY 2021-22</w:t>
      </w:r>
      <w:r>
        <w:rPr>
          <w:rFonts w:ascii="Arial" w:hAnsi="Arial" w:cs="Arial"/>
          <w:sz w:val="26"/>
          <w:szCs w:val="26"/>
        </w:rPr>
        <w:t>, leaving the growth fund to pick up the cost of the 45 pupils for the period September 2020- March 2021</w:t>
      </w:r>
      <w:r w:rsidR="004E36D1">
        <w:rPr>
          <w:rFonts w:ascii="Arial" w:hAnsi="Arial" w:cs="Arial"/>
          <w:sz w:val="26"/>
          <w:szCs w:val="26"/>
        </w:rPr>
        <w:t xml:space="preserve">. </w:t>
      </w:r>
    </w:p>
    <w:p w:rsidR="008A7F3D" w:rsidP="00CE3D68" w:rsidRDefault="008A7F3D">
      <w:pPr>
        <w:ind w:left="284"/>
        <w:rPr>
          <w:rFonts w:ascii="Arial" w:hAnsi="Arial" w:cs="Arial"/>
          <w:sz w:val="26"/>
          <w:szCs w:val="26"/>
        </w:rPr>
      </w:pPr>
    </w:p>
    <w:p w:rsidR="00E67CE9" w:rsidP="00CE3D68" w:rsidRDefault="008A7F3D">
      <w:pPr>
        <w:ind w:left="284"/>
        <w:rPr>
          <w:rFonts w:ascii="Arial" w:hAnsi="Arial" w:cs="Arial"/>
          <w:sz w:val="26"/>
          <w:szCs w:val="26"/>
        </w:rPr>
      </w:pPr>
      <w:r>
        <w:rPr>
          <w:rFonts w:ascii="Arial" w:hAnsi="Arial" w:cs="Arial"/>
          <w:sz w:val="26"/>
          <w:szCs w:val="26"/>
        </w:rPr>
        <w:t xml:space="preserve">In effect </w:t>
      </w:r>
      <w:r w:rsidR="00CA7D96">
        <w:rPr>
          <w:rFonts w:ascii="Arial" w:hAnsi="Arial" w:cs="Arial"/>
          <w:sz w:val="26"/>
          <w:szCs w:val="26"/>
        </w:rPr>
        <w:t xml:space="preserve">the national framework requires </w:t>
      </w:r>
      <w:r w:rsidR="005D7EAA">
        <w:rPr>
          <w:rFonts w:ascii="Arial" w:hAnsi="Arial" w:cs="Arial"/>
          <w:sz w:val="26"/>
          <w:szCs w:val="26"/>
        </w:rPr>
        <w:t xml:space="preserve">the </w:t>
      </w:r>
      <w:r w:rsidR="00C65DD0">
        <w:rPr>
          <w:rFonts w:ascii="Arial" w:hAnsi="Arial" w:cs="Arial"/>
          <w:sz w:val="26"/>
          <w:szCs w:val="26"/>
        </w:rPr>
        <w:t xml:space="preserve">growth fund </w:t>
      </w:r>
      <w:r w:rsidR="005D7EAA">
        <w:rPr>
          <w:rFonts w:ascii="Arial" w:hAnsi="Arial" w:cs="Arial"/>
          <w:sz w:val="26"/>
          <w:szCs w:val="26"/>
        </w:rPr>
        <w:t xml:space="preserve">to </w:t>
      </w:r>
      <w:r w:rsidR="00C65DD0">
        <w:rPr>
          <w:rFonts w:ascii="Arial" w:hAnsi="Arial" w:cs="Arial"/>
          <w:sz w:val="26"/>
          <w:szCs w:val="26"/>
        </w:rPr>
        <w:t xml:space="preserve">meet </w:t>
      </w:r>
      <w:r w:rsidR="005D7EAA">
        <w:rPr>
          <w:rFonts w:ascii="Arial" w:hAnsi="Arial" w:cs="Arial"/>
          <w:sz w:val="26"/>
          <w:szCs w:val="26"/>
        </w:rPr>
        <w:t xml:space="preserve">the first </w:t>
      </w:r>
      <w:r w:rsidR="00C65DD0">
        <w:rPr>
          <w:rFonts w:ascii="Arial" w:hAnsi="Arial" w:cs="Arial"/>
          <w:sz w:val="26"/>
          <w:szCs w:val="26"/>
        </w:rPr>
        <w:t xml:space="preserve">seven </w:t>
      </w:r>
      <w:r w:rsidR="005D7EAA">
        <w:rPr>
          <w:rFonts w:ascii="Arial" w:hAnsi="Arial" w:cs="Arial"/>
          <w:sz w:val="26"/>
          <w:szCs w:val="26"/>
        </w:rPr>
        <w:t>months</w:t>
      </w:r>
      <w:r w:rsidR="00C65DD0">
        <w:rPr>
          <w:rFonts w:ascii="Arial" w:hAnsi="Arial" w:cs="Arial"/>
          <w:sz w:val="26"/>
          <w:szCs w:val="26"/>
        </w:rPr>
        <w:t>’</w:t>
      </w:r>
      <w:r w:rsidR="005D7EAA">
        <w:rPr>
          <w:rFonts w:ascii="Arial" w:hAnsi="Arial" w:cs="Arial"/>
          <w:sz w:val="26"/>
          <w:szCs w:val="26"/>
        </w:rPr>
        <w:t xml:space="preserve"> formula allocation for </w:t>
      </w:r>
      <w:r w:rsidRPr="00E67CE9" w:rsidR="005D7EAA">
        <w:rPr>
          <w:rFonts w:ascii="Arial" w:hAnsi="Arial" w:cs="Arial"/>
          <w:sz w:val="26"/>
          <w:szCs w:val="26"/>
          <w:u w:val="single"/>
        </w:rPr>
        <w:t>every</w:t>
      </w:r>
      <w:r w:rsidR="005D7EAA">
        <w:rPr>
          <w:rFonts w:ascii="Arial" w:hAnsi="Arial" w:cs="Arial"/>
          <w:sz w:val="26"/>
          <w:szCs w:val="26"/>
        </w:rPr>
        <w:t xml:space="preserve"> child that </w:t>
      </w:r>
      <w:r>
        <w:rPr>
          <w:rFonts w:ascii="Arial" w:hAnsi="Arial" w:cs="Arial"/>
          <w:sz w:val="26"/>
          <w:szCs w:val="26"/>
        </w:rPr>
        <w:t xml:space="preserve">a </w:t>
      </w:r>
      <w:r w:rsidR="005D7EAA">
        <w:rPr>
          <w:rFonts w:ascii="Arial" w:hAnsi="Arial" w:cs="Arial"/>
          <w:sz w:val="26"/>
          <w:szCs w:val="26"/>
        </w:rPr>
        <w:t xml:space="preserve">free </w:t>
      </w:r>
      <w:r>
        <w:rPr>
          <w:rFonts w:ascii="Arial" w:hAnsi="Arial" w:cs="Arial"/>
          <w:sz w:val="26"/>
          <w:szCs w:val="26"/>
        </w:rPr>
        <w:t xml:space="preserve">school </w:t>
      </w:r>
      <w:r w:rsidR="005D7EAA">
        <w:rPr>
          <w:rFonts w:ascii="Arial" w:hAnsi="Arial" w:cs="Arial"/>
          <w:sz w:val="26"/>
          <w:szCs w:val="26"/>
        </w:rPr>
        <w:t xml:space="preserve">admits. </w:t>
      </w:r>
    </w:p>
    <w:p w:rsidR="00E67CE9" w:rsidP="00CE3D68" w:rsidRDefault="00E67CE9">
      <w:pPr>
        <w:ind w:left="284"/>
        <w:rPr>
          <w:rFonts w:ascii="Arial" w:hAnsi="Arial" w:cs="Arial"/>
          <w:sz w:val="26"/>
          <w:szCs w:val="26"/>
        </w:rPr>
      </w:pPr>
    </w:p>
    <w:p w:rsidR="00C65018" w:rsidP="00CE3D68" w:rsidRDefault="00CA7D96">
      <w:pPr>
        <w:ind w:left="284"/>
        <w:rPr>
          <w:rFonts w:ascii="Arial" w:hAnsi="Arial" w:cs="Arial"/>
          <w:sz w:val="26"/>
          <w:szCs w:val="26"/>
        </w:rPr>
      </w:pPr>
      <w:r>
        <w:rPr>
          <w:rFonts w:ascii="Arial" w:hAnsi="Arial" w:cs="Arial"/>
          <w:sz w:val="26"/>
          <w:szCs w:val="26"/>
        </w:rPr>
        <w:t xml:space="preserve">In addition to the basic entitlement funding the </w:t>
      </w:r>
      <w:r w:rsidR="00C65DD0">
        <w:rPr>
          <w:rFonts w:ascii="Arial" w:hAnsi="Arial" w:cs="Arial"/>
          <w:sz w:val="26"/>
          <w:szCs w:val="26"/>
        </w:rPr>
        <w:t xml:space="preserve">growth fund </w:t>
      </w:r>
      <w:r>
        <w:rPr>
          <w:rFonts w:ascii="Arial" w:hAnsi="Arial" w:cs="Arial"/>
          <w:sz w:val="26"/>
          <w:szCs w:val="26"/>
        </w:rPr>
        <w:t>has to meet the other pupil led elements (deprivation, low prior attainment) and the non-pupil led factors e.g. lump sum and rates, although the LA receives</w:t>
      </w:r>
      <w:r w:rsidR="00C65DD0">
        <w:rPr>
          <w:rFonts w:ascii="Arial" w:hAnsi="Arial" w:cs="Arial"/>
          <w:sz w:val="26"/>
          <w:szCs w:val="26"/>
        </w:rPr>
        <w:t>,</w:t>
      </w:r>
      <w:r>
        <w:rPr>
          <w:rFonts w:ascii="Arial" w:hAnsi="Arial" w:cs="Arial"/>
          <w:sz w:val="26"/>
          <w:szCs w:val="26"/>
        </w:rPr>
        <w:t xml:space="preserve"> </w:t>
      </w:r>
      <w:r w:rsidR="00E67CE9">
        <w:rPr>
          <w:rFonts w:ascii="Arial" w:hAnsi="Arial" w:cs="Arial"/>
          <w:sz w:val="26"/>
          <w:szCs w:val="26"/>
        </w:rPr>
        <w:t>retrospectively</w:t>
      </w:r>
      <w:r w:rsidR="00C65DD0">
        <w:rPr>
          <w:rFonts w:ascii="Arial" w:hAnsi="Arial" w:cs="Arial"/>
          <w:sz w:val="26"/>
          <w:szCs w:val="26"/>
        </w:rPr>
        <w:t>,</w:t>
      </w:r>
      <w:r w:rsidR="00E67CE9">
        <w:rPr>
          <w:rFonts w:ascii="Arial" w:hAnsi="Arial" w:cs="Arial"/>
          <w:sz w:val="26"/>
          <w:szCs w:val="26"/>
        </w:rPr>
        <w:t xml:space="preserve"> a one off </w:t>
      </w:r>
      <w:r>
        <w:rPr>
          <w:rFonts w:ascii="Arial" w:hAnsi="Arial" w:cs="Arial"/>
          <w:sz w:val="26"/>
          <w:szCs w:val="26"/>
        </w:rPr>
        <w:t>£65,000 per school additional growth funding to help with the lump sum</w:t>
      </w:r>
      <w:r w:rsidR="00C65DD0">
        <w:rPr>
          <w:rFonts w:ascii="Arial" w:hAnsi="Arial" w:cs="Arial"/>
          <w:sz w:val="26"/>
          <w:szCs w:val="26"/>
        </w:rPr>
        <w:t xml:space="preserve"> payment</w:t>
      </w:r>
      <w:r>
        <w:rPr>
          <w:rFonts w:ascii="Arial" w:hAnsi="Arial" w:cs="Arial"/>
          <w:sz w:val="26"/>
          <w:szCs w:val="26"/>
        </w:rPr>
        <w:t>.</w:t>
      </w:r>
      <w:r w:rsidR="00C65018">
        <w:rPr>
          <w:rFonts w:ascii="Arial" w:hAnsi="Arial" w:cs="Arial"/>
          <w:sz w:val="26"/>
          <w:szCs w:val="26"/>
        </w:rPr>
        <w:t xml:space="preserve"> </w:t>
      </w:r>
      <w:r>
        <w:rPr>
          <w:rFonts w:ascii="Arial" w:hAnsi="Arial" w:cs="Arial"/>
          <w:sz w:val="26"/>
          <w:szCs w:val="26"/>
        </w:rPr>
        <w:t xml:space="preserve">The estimated </w:t>
      </w:r>
      <w:r w:rsidR="00C65DD0">
        <w:rPr>
          <w:rFonts w:ascii="Arial" w:hAnsi="Arial" w:cs="Arial"/>
          <w:sz w:val="26"/>
          <w:szCs w:val="26"/>
        </w:rPr>
        <w:t xml:space="preserve">part year formula support costs of </w:t>
      </w:r>
      <w:r w:rsidR="00C65018">
        <w:rPr>
          <w:rFonts w:ascii="Arial" w:hAnsi="Arial" w:cs="Arial"/>
          <w:sz w:val="26"/>
          <w:szCs w:val="26"/>
        </w:rPr>
        <w:t xml:space="preserve">a typical 210 </w:t>
      </w:r>
      <w:r w:rsidR="00E67CE9">
        <w:rPr>
          <w:rFonts w:ascii="Arial" w:hAnsi="Arial" w:cs="Arial"/>
          <w:sz w:val="26"/>
          <w:szCs w:val="26"/>
        </w:rPr>
        <w:t xml:space="preserve">pupil </w:t>
      </w:r>
      <w:r>
        <w:rPr>
          <w:rFonts w:ascii="Arial" w:hAnsi="Arial" w:cs="Arial"/>
          <w:sz w:val="26"/>
          <w:szCs w:val="26"/>
        </w:rPr>
        <w:t>new school ha</w:t>
      </w:r>
      <w:r w:rsidR="00C65DD0">
        <w:rPr>
          <w:rFonts w:ascii="Arial" w:hAnsi="Arial" w:cs="Arial"/>
          <w:sz w:val="26"/>
          <w:szCs w:val="26"/>
        </w:rPr>
        <w:t>ve</w:t>
      </w:r>
      <w:r>
        <w:rPr>
          <w:rFonts w:ascii="Arial" w:hAnsi="Arial" w:cs="Arial"/>
          <w:sz w:val="26"/>
          <w:szCs w:val="26"/>
        </w:rPr>
        <w:t xml:space="preserve"> been estimated below</w:t>
      </w:r>
      <w:r w:rsidR="00C65018">
        <w:rPr>
          <w:rFonts w:ascii="Arial" w:hAnsi="Arial" w:cs="Arial"/>
          <w:sz w:val="26"/>
          <w:szCs w:val="26"/>
        </w:rPr>
        <w:t>:</w:t>
      </w:r>
    </w:p>
    <w:p w:rsidR="00C65018" w:rsidP="00CE3D68" w:rsidRDefault="00C65018">
      <w:pPr>
        <w:ind w:left="284"/>
        <w:rPr>
          <w:rFonts w:ascii="Arial" w:hAnsi="Arial" w:cs="Arial"/>
          <w:sz w:val="26"/>
          <w:szCs w:val="26"/>
        </w:rPr>
      </w:pPr>
    </w:p>
    <w:p w:rsidR="00C65018" w:rsidP="00CE3D68" w:rsidRDefault="0033007F">
      <w:pPr>
        <w:ind w:left="284"/>
        <w:rPr>
          <w:rFonts w:ascii="Arial" w:hAnsi="Arial" w:cs="Arial"/>
          <w:sz w:val="26"/>
          <w:szCs w:val="26"/>
        </w:rPr>
      </w:pPr>
      <w:r w:rsidRPr="0033007F">
        <w:rPr>
          <w:noProof/>
          <w:lang w:eastAsia="en-GB"/>
        </w:rPr>
        <w:drawing>
          <wp:inline distT="0" distB="0" distL="0" distR="0">
            <wp:extent cx="6202462" cy="4689044"/>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1452" cy="4703401"/>
                    </a:xfrm>
                    <a:prstGeom prst="rect">
                      <a:avLst/>
                    </a:prstGeom>
                    <a:noFill/>
                    <a:ln>
                      <a:noFill/>
                    </a:ln>
                  </pic:spPr>
                </pic:pic>
              </a:graphicData>
            </a:graphic>
          </wp:inline>
        </w:drawing>
      </w:r>
    </w:p>
    <w:p w:rsidR="00C65018" w:rsidP="00CE3D68" w:rsidRDefault="00C65018">
      <w:pPr>
        <w:ind w:left="284"/>
        <w:rPr>
          <w:rFonts w:ascii="Arial" w:hAnsi="Arial" w:cs="Arial"/>
          <w:sz w:val="26"/>
          <w:szCs w:val="26"/>
        </w:rPr>
      </w:pPr>
    </w:p>
    <w:p w:rsidR="00F2764B" w:rsidP="0033007F" w:rsidRDefault="00533E38">
      <w:pPr>
        <w:ind w:left="284"/>
        <w:rPr>
          <w:rFonts w:ascii="Arial" w:hAnsi="Arial" w:cs="Arial"/>
          <w:sz w:val="26"/>
          <w:szCs w:val="26"/>
        </w:rPr>
      </w:pPr>
      <w:r>
        <w:rPr>
          <w:rFonts w:ascii="Arial" w:hAnsi="Arial" w:cs="Arial"/>
          <w:sz w:val="26"/>
          <w:szCs w:val="26"/>
        </w:rPr>
        <w:lastRenderedPageBreak/>
        <w:t>In addition to the above</w:t>
      </w:r>
      <w:r w:rsidR="005D7EAA">
        <w:rPr>
          <w:rFonts w:ascii="Arial" w:hAnsi="Arial" w:cs="Arial"/>
          <w:sz w:val="26"/>
          <w:szCs w:val="26"/>
        </w:rPr>
        <w:t>,</w:t>
      </w:r>
      <w:r>
        <w:rPr>
          <w:rFonts w:ascii="Arial" w:hAnsi="Arial" w:cs="Arial"/>
          <w:sz w:val="26"/>
          <w:szCs w:val="26"/>
        </w:rPr>
        <w:t xml:space="preserve"> </w:t>
      </w:r>
      <w:r w:rsidR="0033007F">
        <w:rPr>
          <w:rFonts w:ascii="Arial" w:hAnsi="Arial" w:cs="Arial"/>
          <w:sz w:val="26"/>
          <w:szCs w:val="26"/>
        </w:rPr>
        <w:t xml:space="preserve">the growth fund would also be expected to </w:t>
      </w:r>
      <w:r w:rsidR="005D7EAA">
        <w:rPr>
          <w:rFonts w:ascii="Arial" w:hAnsi="Arial" w:cs="Arial"/>
          <w:sz w:val="26"/>
          <w:szCs w:val="26"/>
        </w:rPr>
        <w:t xml:space="preserve">provide </w:t>
      </w:r>
      <w:r w:rsidR="0033007F">
        <w:rPr>
          <w:rFonts w:ascii="Arial" w:hAnsi="Arial" w:cs="Arial"/>
          <w:sz w:val="26"/>
          <w:szCs w:val="26"/>
        </w:rPr>
        <w:t>the post opening support</w:t>
      </w:r>
      <w:r w:rsidR="005D7EAA">
        <w:rPr>
          <w:rFonts w:ascii="Arial" w:hAnsi="Arial" w:cs="Arial"/>
          <w:sz w:val="26"/>
          <w:szCs w:val="26"/>
        </w:rPr>
        <w:t xml:space="preserve"> required under the free school regulations</w:t>
      </w:r>
      <w:r w:rsidR="0033007F">
        <w:rPr>
          <w:rFonts w:ascii="Arial" w:hAnsi="Arial" w:cs="Arial"/>
          <w:sz w:val="26"/>
          <w:szCs w:val="26"/>
        </w:rPr>
        <w:t xml:space="preserve">. </w:t>
      </w:r>
      <w:r w:rsidR="00A3122F">
        <w:rPr>
          <w:rFonts w:ascii="Arial" w:hAnsi="Arial" w:cs="Arial"/>
          <w:sz w:val="26"/>
          <w:szCs w:val="26"/>
        </w:rPr>
        <w:t>P</w:t>
      </w:r>
      <w:r w:rsidR="005D7EAA">
        <w:rPr>
          <w:rFonts w:ascii="Arial" w:hAnsi="Arial" w:cs="Arial"/>
          <w:sz w:val="26"/>
          <w:szCs w:val="26"/>
        </w:rPr>
        <w:t xml:space="preserve">ost-opening </w:t>
      </w:r>
      <w:r w:rsidR="0033007F">
        <w:rPr>
          <w:rFonts w:ascii="Arial" w:hAnsi="Arial" w:cs="Arial"/>
          <w:sz w:val="26"/>
          <w:szCs w:val="26"/>
        </w:rPr>
        <w:t xml:space="preserve">support recognises that in the </w:t>
      </w:r>
      <w:r w:rsidR="005D7EAA">
        <w:rPr>
          <w:rFonts w:ascii="Arial" w:hAnsi="Arial" w:cs="Arial"/>
          <w:sz w:val="26"/>
          <w:szCs w:val="26"/>
        </w:rPr>
        <w:t xml:space="preserve">initial </w:t>
      </w:r>
      <w:r w:rsidR="0033007F">
        <w:rPr>
          <w:rFonts w:ascii="Arial" w:hAnsi="Arial" w:cs="Arial"/>
          <w:sz w:val="26"/>
          <w:szCs w:val="26"/>
        </w:rPr>
        <w:t xml:space="preserve">years after opening </w:t>
      </w:r>
      <w:r w:rsidR="004E36D1">
        <w:rPr>
          <w:rFonts w:ascii="Arial" w:hAnsi="Arial" w:cs="Arial"/>
          <w:sz w:val="26"/>
          <w:szCs w:val="26"/>
        </w:rPr>
        <w:t xml:space="preserve">the </w:t>
      </w:r>
      <w:r w:rsidR="0033007F">
        <w:rPr>
          <w:rFonts w:ascii="Arial" w:hAnsi="Arial" w:cs="Arial"/>
          <w:sz w:val="26"/>
          <w:szCs w:val="26"/>
        </w:rPr>
        <w:t xml:space="preserve">mainstream </w:t>
      </w:r>
      <w:r w:rsidR="004E36D1">
        <w:rPr>
          <w:rFonts w:ascii="Arial" w:hAnsi="Arial" w:cs="Arial"/>
          <w:sz w:val="26"/>
          <w:szCs w:val="26"/>
        </w:rPr>
        <w:t xml:space="preserve">formula </w:t>
      </w:r>
      <w:r w:rsidR="0033007F">
        <w:rPr>
          <w:rFonts w:ascii="Arial" w:hAnsi="Arial" w:cs="Arial"/>
          <w:sz w:val="26"/>
          <w:szCs w:val="26"/>
        </w:rPr>
        <w:t xml:space="preserve">allocation is unlikely to </w:t>
      </w:r>
      <w:r w:rsidR="004E36D1">
        <w:rPr>
          <w:rFonts w:ascii="Arial" w:hAnsi="Arial" w:cs="Arial"/>
          <w:sz w:val="26"/>
          <w:szCs w:val="26"/>
        </w:rPr>
        <w:t>provide sufficient resources to run a school.</w:t>
      </w:r>
      <w:r w:rsidR="0033007F">
        <w:rPr>
          <w:rFonts w:ascii="Arial" w:hAnsi="Arial" w:cs="Arial"/>
          <w:sz w:val="26"/>
          <w:szCs w:val="26"/>
        </w:rPr>
        <w:t xml:space="preserve"> </w:t>
      </w:r>
    </w:p>
    <w:p w:rsidR="00F2764B" w:rsidP="0033007F" w:rsidRDefault="00F2764B">
      <w:pPr>
        <w:ind w:left="284"/>
        <w:rPr>
          <w:rFonts w:ascii="Arial" w:hAnsi="Arial" w:cs="Arial"/>
          <w:sz w:val="26"/>
          <w:szCs w:val="26"/>
        </w:rPr>
      </w:pPr>
    </w:p>
    <w:p w:rsidR="00A3122F" w:rsidP="0033007F" w:rsidRDefault="00A3122F">
      <w:pPr>
        <w:ind w:left="284"/>
        <w:rPr>
          <w:rFonts w:ascii="Arial" w:hAnsi="Arial" w:cs="Arial"/>
          <w:sz w:val="26"/>
          <w:szCs w:val="26"/>
        </w:rPr>
      </w:pPr>
      <w:r>
        <w:rPr>
          <w:rFonts w:ascii="Arial" w:hAnsi="Arial" w:cs="Arial"/>
          <w:sz w:val="26"/>
          <w:szCs w:val="26"/>
        </w:rPr>
        <w:t>P</w:t>
      </w:r>
      <w:r w:rsidR="005D7EAA">
        <w:rPr>
          <w:rFonts w:ascii="Arial" w:hAnsi="Arial" w:cs="Arial"/>
          <w:sz w:val="26"/>
          <w:szCs w:val="26"/>
        </w:rPr>
        <w:t xml:space="preserve">ost opening </w:t>
      </w:r>
      <w:r w:rsidR="0033007F">
        <w:rPr>
          <w:rFonts w:ascii="Arial" w:hAnsi="Arial" w:cs="Arial"/>
          <w:sz w:val="26"/>
          <w:szCs w:val="26"/>
        </w:rPr>
        <w:t>support comes in two forms</w:t>
      </w:r>
      <w:r w:rsidR="001F4038">
        <w:rPr>
          <w:rFonts w:ascii="Arial" w:hAnsi="Arial" w:cs="Arial"/>
          <w:sz w:val="26"/>
          <w:szCs w:val="26"/>
        </w:rPr>
        <w:t xml:space="preserve">. </w:t>
      </w:r>
      <w:r w:rsidR="005D7EAA">
        <w:rPr>
          <w:rFonts w:ascii="Arial" w:hAnsi="Arial" w:cs="Arial"/>
          <w:sz w:val="26"/>
          <w:szCs w:val="26"/>
        </w:rPr>
        <w:t xml:space="preserve">The first, </w:t>
      </w:r>
      <w:r w:rsidR="001F4038">
        <w:rPr>
          <w:rFonts w:ascii="Arial" w:hAnsi="Arial" w:cs="Arial"/>
          <w:sz w:val="26"/>
          <w:szCs w:val="26"/>
        </w:rPr>
        <w:t>Leadership</w:t>
      </w:r>
      <w:r w:rsidR="005D7EAA">
        <w:rPr>
          <w:rFonts w:ascii="Arial" w:hAnsi="Arial" w:cs="Arial"/>
          <w:sz w:val="26"/>
          <w:szCs w:val="26"/>
        </w:rPr>
        <w:t xml:space="preserve">, </w:t>
      </w:r>
      <w:r w:rsidR="001F4038">
        <w:rPr>
          <w:rFonts w:ascii="Arial" w:hAnsi="Arial" w:cs="Arial"/>
          <w:sz w:val="26"/>
          <w:szCs w:val="26"/>
        </w:rPr>
        <w:t>provides a</w:t>
      </w:r>
      <w:r>
        <w:rPr>
          <w:rFonts w:ascii="Arial" w:hAnsi="Arial" w:cs="Arial"/>
          <w:sz w:val="26"/>
          <w:szCs w:val="26"/>
        </w:rPr>
        <w:t>n average of ~</w:t>
      </w:r>
      <w:r w:rsidR="001F4038">
        <w:rPr>
          <w:rFonts w:ascii="Arial" w:hAnsi="Arial" w:cs="Arial"/>
          <w:sz w:val="26"/>
          <w:szCs w:val="26"/>
        </w:rPr>
        <w:t>£13,</w:t>
      </w:r>
      <w:r>
        <w:rPr>
          <w:rFonts w:ascii="Arial" w:hAnsi="Arial" w:cs="Arial"/>
          <w:sz w:val="26"/>
          <w:szCs w:val="26"/>
        </w:rPr>
        <w:t>5</w:t>
      </w:r>
      <w:r w:rsidR="001F4038">
        <w:rPr>
          <w:rFonts w:ascii="Arial" w:hAnsi="Arial" w:cs="Arial"/>
          <w:sz w:val="26"/>
          <w:szCs w:val="26"/>
        </w:rPr>
        <w:t xml:space="preserve">00 per empty cohort per annum, the maximum a school could claim would be £283,000 </w:t>
      </w:r>
      <w:r>
        <w:rPr>
          <w:rFonts w:ascii="Arial" w:hAnsi="Arial" w:cs="Arial"/>
          <w:sz w:val="26"/>
          <w:szCs w:val="26"/>
        </w:rPr>
        <w:t>during the first six</w:t>
      </w:r>
      <w:r w:rsidR="001F4038">
        <w:rPr>
          <w:rFonts w:ascii="Arial" w:hAnsi="Arial" w:cs="Arial"/>
          <w:sz w:val="26"/>
          <w:szCs w:val="26"/>
        </w:rPr>
        <w:t xml:space="preserve"> years. The second element is </w:t>
      </w:r>
      <w:r w:rsidR="005D7EAA">
        <w:rPr>
          <w:rFonts w:ascii="Arial" w:hAnsi="Arial" w:cs="Arial"/>
          <w:sz w:val="26"/>
          <w:szCs w:val="26"/>
        </w:rPr>
        <w:t xml:space="preserve">to help provide </w:t>
      </w:r>
      <w:r w:rsidR="001F4038">
        <w:rPr>
          <w:rFonts w:ascii="Arial" w:hAnsi="Arial" w:cs="Arial"/>
          <w:sz w:val="26"/>
          <w:szCs w:val="26"/>
        </w:rPr>
        <w:t>additional resources and is a flat rate £250 per additional pupil</w:t>
      </w:r>
      <w:r w:rsidR="00C65DD0">
        <w:rPr>
          <w:rFonts w:ascii="Arial" w:hAnsi="Arial" w:cs="Arial"/>
          <w:sz w:val="26"/>
          <w:szCs w:val="26"/>
        </w:rPr>
        <w:t>, a total cost of £52,500 for a 210 pupil school</w:t>
      </w:r>
      <w:r w:rsidR="001F4038">
        <w:rPr>
          <w:rFonts w:ascii="Arial" w:hAnsi="Arial" w:cs="Arial"/>
          <w:sz w:val="26"/>
          <w:szCs w:val="26"/>
        </w:rPr>
        <w:t>.</w:t>
      </w:r>
    </w:p>
    <w:p w:rsidR="00A3122F" w:rsidP="0033007F" w:rsidRDefault="00A3122F">
      <w:pPr>
        <w:ind w:left="284"/>
        <w:rPr>
          <w:rFonts w:ascii="Arial" w:hAnsi="Arial" w:cs="Arial"/>
          <w:sz w:val="26"/>
          <w:szCs w:val="26"/>
        </w:rPr>
      </w:pPr>
    </w:p>
    <w:p w:rsidR="004E36D1" w:rsidP="0033007F" w:rsidRDefault="00B2238A">
      <w:pPr>
        <w:ind w:left="284"/>
        <w:rPr>
          <w:rFonts w:ascii="Arial" w:hAnsi="Arial" w:cs="Arial"/>
          <w:sz w:val="26"/>
          <w:szCs w:val="26"/>
        </w:rPr>
      </w:pPr>
      <w:r>
        <w:rPr>
          <w:rFonts w:ascii="Arial" w:hAnsi="Arial" w:cs="Arial"/>
          <w:sz w:val="26"/>
          <w:szCs w:val="26"/>
        </w:rPr>
        <w:t>For a 210 place free school these two elements could result in a further cost of up to £335,500</w:t>
      </w:r>
      <w:r w:rsidR="005D7EAA">
        <w:rPr>
          <w:rFonts w:ascii="Arial" w:hAnsi="Arial" w:cs="Arial"/>
          <w:sz w:val="26"/>
          <w:szCs w:val="26"/>
        </w:rPr>
        <w:t>, bringing the long term costs up to ~£0.750m per school</w:t>
      </w:r>
      <w:r w:rsidR="00C65DD0">
        <w:rPr>
          <w:rFonts w:ascii="Arial" w:hAnsi="Arial" w:cs="Arial"/>
          <w:sz w:val="26"/>
          <w:szCs w:val="26"/>
        </w:rPr>
        <w:t xml:space="preserve"> including the formula support. This average figure implies that around </w:t>
      </w:r>
      <w:r w:rsidR="005D7EAA">
        <w:rPr>
          <w:rFonts w:ascii="Arial" w:hAnsi="Arial" w:cs="Arial"/>
          <w:sz w:val="26"/>
          <w:szCs w:val="26"/>
        </w:rPr>
        <w:t xml:space="preserve">£3m </w:t>
      </w:r>
      <w:r w:rsidR="00C65DD0">
        <w:rPr>
          <w:rFonts w:ascii="Arial" w:hAnsi="Arial" w:cs="Arial"/>
          <w:sz w:val="26"/>
          <w:szCs w:val="26"/>
        </w:rPr>
        <w:t xml:space="preserve">will be needed to support </w:t>
      </w:r>
      <w:r w:rsidR="005D7EAA">
        <w:rPr>
          <w:rFonts w:ascii="Arial" w:hAnsi="Arial" w:cs="Arial"/>
          <w:sz w:val="26"/>
          <w:szCs w:val="26"/>
        </w:rPr>
        <w:t xml:space="preserve">the four new </w:t>
      </w:r>
      <w:r w:rsidR="00C65DD0">
        <w:rPr>
          <w:rFonts w:ascii="Arial" w:hAnsi="Arial" w:cs="Arial"/>
          <w:sz w:val="26"/>
          <w:szCs w:val="26"/>
        </w:rPr>
        <w:t xml:space="preserve">free </w:t>
      </w:r>
      <w:r w:rsidR="005D7EAA">
        <w:rPr>
          <w:rFonts w:ascii="Arial" w:hAnsi="Arial" w:cs="Arial"/>
          <w:sz w:val="26"/>
          <w:szCs w:val="26"/>
        </w:rPr>
        <w:t>schools</w:t>
      </w:r>
      <w:r w:rsidR="00C65DD0">
        <w:rPr>
          <w:rFonts w:ascii="Arial" w:hAnsi="Arial" w:cs="Arial"/>
          <w:sz w:val="26"/>
          <w:szCs w:val="26"/>
        </w:rPr>
        <w:t xml:space="preserve"> over the </w:t>
      </w:r>
      <w:r w:rsidR="00BD0F25">
        <w:rPr>
          <w:rFonts w:ascii="Arial" w:hAnsi="Arial" w:cs="Arial"/>
          <w:sz w:val="26"/>
          <w:szCs w:val="26"/>
        </w:rPr>
        <w:t>medium term</w:t>
      </w:r>
      <w:r>
        <w:rPr>
          <w:rFonts w:ascii="Arial" w:hAnsi="Arial" w:cs="Arial"/>
          <w:sz w:val="26"/>
          <w:szCs w:val="26"/>
        </w:rPr>
        <w:t>.</w:t>
      </w:r>
    </w:p>
    <w:p w:rsidR="00B2238A" w:rsidP="0033007F" w:rsidRDefault="00B2238A">
      <w:pPr>
        <w:ind w:left="284"/>
        <w:rPr>
          <w:rFonts w:ascii="Arial" w:hAnsi="Arial" w:cs="Arial"/>
          <w:sz w:val="26"/>
          <w:szCs w:val="26"/>
        </w:rPr>
      </w:pPr>
    </w:p>
    <w:p w:rsidR="001503B7" w:rsidP="00CE3D68" w:rsidRDefault="00F92E6E">
      <w:pPr>
        <w:ind w:left="284"/>
        <w:rPr>
          <w:rFonts w:ascii="Arial" w:hAnsi="Arial" w:cs="Arial"/>
          <w:sz w:val="26"/>
          <w:szCs w:val="26"/>
        </w:rPr>
      </w:pPr>
      <w:r>
        <w:rPr>
          <w:rFonts w:ascii="Arial" w:hAnsi="Arial" w:cs="Arial"/>
          <w:sz w:val="26"/>
          <w:szCs w:val="26"/>
        </w:rPr>
        <w:t xml:space="preserve">As the level of pupil growth funding </w:t>
      </w:r>
      <w:r w:rsidR="005D7EAA">
        <w:rPr>
          <w:rFonts w:ascii="Arial" w:hAnsi="Arial" w:cs="Arial"/>
          <w:sz w:val="26"/>
          <w:szCs w:val="26"/>
        </w:rPr>
        <w:t xml:space="preserve">in future years </w:t>
      </w:r>
      <w:r w:rsidR="00E67CE9">
        <w:rPr>
          <w:rFonts w:ascii="Arial" w:hAnsi="Arial" w:cs="Arial"/>
          <w:sz w:val="26"/>
          <w:szCs w:val="26"/>
        </w:rPr>
        <w:t xml:space="preserve">from the DfE </w:t>
      </w:r>
      <w:r>
        <w:rPr>
          <w:rFonts w:ascii="Arial" w:hAnsi="Arial" w:cs="Arial"/>
          <w:sz w:val="26"/>
          <w:szCs w:val="26"/>
        </w:rPr>
        <w:t>is uncertain</w:t>
      </w:r>
      <w:r w:rsidR="005D7EAA">
        <w:rPr>
          <w:rFonts w:ascii="Arial" w:hAnsi="Arial" w:cs="Arial"/>
          <w:sz w:val="26"/>
          <w:szCs w:val="26"/>
        </w:rPr>
        <w:t xml:space="preserve">, </w:t>
      </w:r>
      <w:r>
        <w:rPr>
          <w:rFonts w:ascii="Arial" w:hAnsi="Arial" w:cs="Arial"/>
          <w:sz w:val="26"/>
          <w:szCs w:val="26"/>
        </w:rPr>
        <w:t xml:space="preserve">there is a risk that </w:t>
      </w:r>
      <w:r w:rsidR="00C50520">
        <w:rPr>
          <w:rFonts w:ascii="Arial" w:hAnsi="Arial" w:cs="Arial"/>
          <w:sz w:val="26"/>
          <w:szCs w:val="26"/>
        </w:rPr>
        <w:t xml:space="preserve">funding </w:t>
      </w:r>
      <w:r w:rsidR="00E67CE9">
        <w:rPr>
          <w:rFonts w:ascii="Arial" w:hAnsi="Arial" w:cs="Arial"/>
          <w:sz w:val="26"/>
          <w:szCs w:val="26"/>
        </w:rPr>
        <w:t xml:space="preserve">the above </w:t>
      </w:r>
      <w:r w:rsidR="00C50520">
        <w:rPr>
          <w:rFonts w:ascii="Arial" w:hAnsi="Arial" w:cs="Arial"/>
          <w:sz w:val="26"/>
          <w:szCs w:val="26"/>
        </w:rPr>
        <w:t xml:space="preserve">support </w:t>
      </w:r>
      <w:r w:rsidR="00E67CE9">
        <w:rPr>
          <w:rFonts w:ascii="Arial" w:hAnsi="Arial" w:cs="Arial"/>
          <w:sz w:val="26"/>
          <w:szCs w:val="26"/>
        </w:rPr>
        <w:t xml:space="preserve">costs </w:t>
      </w:r>
      <w:r>
        <w:rPr>
          <w:rFonts w:ascii="Arial" w:hAnsi="Arial" w:cs="Arial"/>
          <w:sz w:val="26"/>
          <w:szCs w:val="26"/>
        </w:rPr>
        <w:t xml:space="preserve">could </w:t>
      </w:r>
      <w:r w:rsidR="00E67CE9">
        <w:rPr>
          <w:rFonts w:ascii="Arial" w:hAnsi="Arial" w:cs="Arial"/>
          <w:sz w:val="26"/>
          <w:szCs w:val="26"/>
        </w:rPr>
        <w:t xml:space="preserve">require </w:t>
      </w:r>
      <w:r>
        <w:rPr>
          <w:rFonts w:ascii="Arial" w:hAnsi="Arial" w:cs="Arial"/>
          <w:sz w:val="26"/>
          <w:szCs w:val="26"/>
        </w:rPr>
        <w:t>future years’ mainstream formula multipliers</w:t>
      </w:r>
      <w:r w:rsidR="00E67CE9">
        <w:rPr>
          <w:rFonts w:ascii="Arial" w:hAnsi="Arial" w:cs="Arial"/>
          <w:sz w:val="26"/>
          <w:szCs w:val="26"/>
        </w:rPr>
        <w:t xml:space="preserve"> to be pared back to meet any shortfall</w:t>
      </w:r>
      <w:r>
        <w:rPr>
          <w:rFonts w:ascii="Arial" w:hAnsi="Arial" w:cs="Arial"/>
          <w:sz w:val="26"/>
          <w:szCs w:val="26"/>
        </w:rPr>
        <w:t xml:space="preserve">. In order to </w:t>
      </w:r>
      <w:r w:rsidR="00E67CE9">
        <w:rPr>
          <w:rFonts w:ascii="Arial" w:hAnsi="Arial" w:cs="Arial"/>
          <w:sz w:val="26"/>
          <w:szCs w:val="26"/>
        </w:rPr>
        <w:t xml:space="preserve">reduce </w:t>
      </w:r>
      <w:r>
        <w:rPr>
          <w:rFonts w:ascii="Arial" w:hAnsi="Arial" w:cs="Arial"/>
          <w:sz w:val="26"/>
          <w:szCs w:val="26"/>
        </w:rPr>
        <w:t>this risk</w:t>
      </w:r>
      <w:r w:rsidR="00E72E15">
        <w:rPr>
          <w:rFonts w:ascii="Arial" w:hAnsi="Arial" w:cs="Arial"/>
          <w:sz w:val="26"/>
          <w:szCs w:val="26"/>
        </w:rPr>
        <w:t xml:space="preserve">, </w:t>
      </w:r>
      <w:r w:rsidR="000D2278">
        <w:rPr>
          <w:rFonts w:ascii="Arial" w:hAnsi="Arial" w:cs="Arial"/>
          <w:sz w:val="26"/>
          <w:szCs w:val="26"/>
        </w:rPr>
        <w:t xml:space="preserve">it is proposed that the </w:t>
      </w:r>
      <w:r w:rsidR="00127371">
        <w:rPr>
          <w:rFonts w:ascii="Arial" w:hAnsi="Arial" w:cs="Arial"/>
          <w:sz w:val="26"/>
          <w:szCs w:val="26"/>
        </w:rPr>
        <w:t xml:space="preserve">residual </w:t>
      </w:r>
      <w:r w:rsidR="000D2278">
        <w:rPr>
          <w:rFonts w:ascii="Arial" w:hAnsi="Arial" w:cs="Arial"/>
          <w:sz w:val="26"/>
          <w:szCs w:val="26"/>
        </w:rPr>
        <w:t xml:space="preserve">balance of the </w:t>
      </w:r>
      <w:r w:rsidR="001503B7">
        <w:rPr>
          <w:rFonts w:ascii="Arial" w:hAnsi="Arial" w:cs="Arial"/>
          <w:sz w:val="26"/>
          <w:szCs w:val="26"/>
        </w:rPr>
        <w:t>2019-20 growth funding</w:t>
      </w:r>
      <w:r w:rsidR="00127371">
        <w:rPr>
          <w:rFonts w:ascii="Arial" w:hAnsi="Arial" w:cs="Arial"/>
          <w:sz w:val="26"/>
          <w:szCs w:val="26"/>
        </w:rPr>
        <w:t xml:space="preserve">, estimated to be £1.225m be </w:t>
      </w:r>
      <w:r w:rsidR="00E67CE9">
        <w:rPr>
          <w:rFonts w:ascii="Arial" w:hAnsi="Arial" w:cs="Arial"/>
          <w:sz w:val="26"/>
          <w:szCs w:val="26"/>
        </w:rPr>
        <w:t xml:space="preserve">used to </w:t>
      </w:r>
      <w:r w:rsidR="001503B7">
        <w:rPr>
          <w:rFonts w:ascii="Arial" w:hAnsi="Arial" w:cs="Arial"/>
          <w:sz w:val="26"/>
          <w:szCs w:val="26"/>
        </w:rPr>
        <w:t xml:space="preserve">meet the costs of new free schools. </w:t>
      </w:r>
      <w:r w:rsidR="003339A1">
        <w:rPr>
          <w:rFonts w:ascii="Arial" w:hAnsi="Arial" w:cs="Arial"/>
          <w:sz w:val="26"/>
          <w:szCs w:val="26"/>
        </w:rPr>
        <w:t xml:space="preserve">Any underspend against </w:t>
      </w:r>
      <w:r w:rsidR="00C50520">
        <w:rPr>
          <w:rFonts w:ascii="Arial" w:hAnsi="Arial" w:cs="Arial"/>
          <w:sz w:val="26"/>
          <w:szCs w:val="26"/>
        </w:rPr>
        <w:t xml:space="preserve">the 2019-20 </w:t>
      </w:r>
      <w:r w:rsidR="003339A1">
        <w:rPr>
          <w:rFonts w:ascii="Arial" w:hAnsi="Arial" w:cs="Arial"/>
          <w:sz w:val="26"/>
          <w:szCs w:val="26"/>
        </w:rPr>
        <w:t xml:space="preserve">allocation would be </w:t>
      </w:r>
      <w:r w:rsidR="00127371">
        <w:rPr>
          <w:rFonts w:ascii="Arial" w:hAnsi="Arial" w:cs="Arial"/>
          <w:sz w:val="26"/>
          <w:szCs w:val="26"/>
        </w:rPr>
        <w:t xml:space="preserve">held in a </w:t>
      </w:r>
      <w:r>
        <w:rPr>
          <w:rFonts w:ascii="Arial" w:hAnsi="Arial" w:cs="Arial"/>
          <w:sz w:val="26"/>
          <w:szCs w:val="26"/>
        </w:rPr>
        <w:t>reserve to help meet future years’ costs.</w:t>
      </w:r>
    </w:p>
    <w:p w:rsidR="003339A1" w:rsidP="00CE3D68" w:rsidRDefault="003339A1">
      <w:pPr>
        <w:ind w:left="284"/>
        <w:rPr>
          <w:rFonts w:ascii="Arial" w:hAnsi="Arial" w:cs="Arial"/>
          <w:sz w:val="26"/>
          <w:szCs w:val="26"/>
        </w:rPr>
      </w:pPr>
    </w:p>
    <w:p w:rsidR="00A952EE" w:rsidP="00CE3D68" w:rsidRDefault="003339A1">
      <w:pPr>
        <w:ind w:left="284"/>
        <w:rPr>
          <w:rFonts w:ascii="Arial" w:hAnsi="Arial" w:cs="Arial"/>
          <w:sz w:val="26"/>
          <w:szCs w:val="26"/>
        </w:rPr>
      </w:pPr>
      <w:r>
        <w:rPr>
          <w:rFonts w:ascii="Arial" w:hAnsi="Arial" w:cs="Arial"/>
          <w:sz w:val="26"/>
          <w:szCs w:val="26"/>
        </w:rPr>
        <w:t>Decisions on the level of pupil growth fund</w:t>
      </w:r>
      <w:r w:rsidR="00AA7E53">
        <w:rPr>
          <w:rFonts w:ascii="Arial" w:hAnsi="Arial" w:cs="Arial"/>
          <w:sz w:val="26"/>
          <w:szCs w:val="26"/>
        </w:rPr>
        <w:t>ing</w:t>
      </w:r>
      <w:r>
        <w:rPr>
          <w:rFonts w:ascii="Arial" w:hAnsi="Arial" w:cs="Arial"/>
          <w:sz w:val="26"/>
          <w:szCs w:val="26"/>
        </w:rPr>
        <w:t xml:space="preserve"> are a matter for </w:t>
      </w:r>
      <w:r w:rsidR="00A3122F">
        <w:rPr>
          <w:rFonts w:ascii="Arial" w:hAnsi="Arial" w:cs="Arial"/>
          <w:sz w:val="26"/>
          <w:szCs w:val="26"/>
        </w:rPr>
        <w:t xml:space="preserve">the </w:t>
      </w:r>
      <w:r w:rsidR="004D78DF">
        <w:rPr>
          <w:rFonts w:ascii="Arial" w:hAnsi="Arial" w:cs="Arial"/>
          <w:sz w:val="26"/>
          <w:szCs w:val="26"/>
        </w:rPr>
        <w:t>Schools Forum</w:t>
      </w:r>
      <w:r>
        <w:rPr>
          <w:rFonts w:ascii="Arial" w:hAnsi="Arial" w:cs="Arial"/>
          <w:sz w:val="26"/>
          <w:szCs w:val="26"/>
        </w:rPr>
        <w:t xml:space="preserve"> and the Forum is therefore asked to approve the recommendations shown below.</w:t>
      </w:r>
    </w:p>
    <w:p w:rsidR="00A952EE" w:rsidP="00CE3D68" w:rsidRDefault="00A952EE">
      <w:pPr>
        <w:ind w:left="284"/>
        <w:rPr>
          <w:rFonts w:ascii="Arial" w:hAnsi="Arial" w:cs="Arial"/>
          <w:sz w:val="26"/>
          <w:szCs w:val="26"/>
        </w:rPr>
      </w:pPr>
    </w:p>
    <w:p w:rsidRPr="009A56DE" w:rsidR="00F101F1" w:rsidP="00F101F1" w:rsidRDefault="00433514">
      <w:pPr>
        <w:ind w:left="284"/>
        <w:jc w:val="both"/>
        <w:rPr>
          <w:rFonts w:ascii="Arial" w:hAnsi="Arial" w:cs="Arial"/>
          <w:b/>
          <w:sz w:val="26"/>
          <w:szCs w:val="26"/>
          <w:u w:val="single"/>
        </w:rPr>
      </w:pPr>
      <w:r w:rsidRPr="009A56DE">
        <w:rPr>
          <w:rFonts w:ascii="Arial" w:hAnsi="Arial" w:cs="Arial"/>
          <w:b/>
          <w:sz w:val="26"/>
          <w:szCs w:val="26"/>
        </w:rPr>
        <w:t>3</w:t>
      </w:r>
      <w:r w:rsidRPr="009A56DE" w:rsidR="00B73C3D">
        <w:rPr>
          <w:rFonts w:ascii="Arial" w:hAnsi="Arial" w:cs="Arial"/>
          <w:b/>
          <w:sz w:val="26"/>
          <w:szCs w:val="26"/>
        </w:rPr>
        <w:t>.</w:t>
      </w:r>
      <w:r w:rsidRPr="009A56DE" w:rsidR="00B73C3D">
        <w:rPr>
          <w:rFonts w:ascii="Arial" w:hAnsi="Arial" w:cs="Arial"/>
          <w:b/>
          <w:sz w:val="26"/>
          <w:szCs w:val="26"/>
        </w:rPr>
        <w:tab/>
      </w:r>
      <w:r w:rsidRPr="009A56DE" w:rsidR="00B73C3D">
        <w:rPr>
          <w:rFonts w:ascii="Arial" w:hAnsi="Arial" w:cs="Arial"/>
          <w:b/>
          <w:sz w:val="26"/>
          <w:szCs w:val="26"/>
          <w:u w:val="single"/>
        </w:rPr>
        <w:t>Other Considerations</w:t>
      </w:r>
    </w:p>
    <w:p w:rsidRPr="009A56DE" w:rsidR="00F101F1" w:rsidP="00F101F1" w:rsidRDefault="00F101F1">
      <w:pPr>
        <w:ind w:left="284"/>
        <w:jc w:val="both"/>
        <w:rPr>
          <w:rFonts w:ascii="Arial" w:hAnsi="Arial" w:cs="Arial"/>
          <w:sz w:val="26"/>
          <w:szCs w:val="26"/>
        </w:rPr>
      </w:pPr>
    </w:p>
    <w:p w:rsidRPr="009A56DE" w:rsidR="00B73C3D" w:rsidP="004B76A4" w:rsidRDefault="00B73C3D">
      <w:pPr>
        <w:tabs>
          <w:tab w:val="left" w:pos="851"/>
        </w:tabs>
        <w:ind w:left="284"/>
        <w:rPr>
          <w:rFonts w:ascii="Arial" w:hAnsi="Arial" w:cs="Arial"/>
          <w:sz w:val="26"/>
          <w:szCs w:val="26"/>
        </w:rPr>
      </w:pPr>
      <w:r w:rsidRPr="009A56DE">
        <w:rPr>
          <w:rFonts w:ascii="Arial" w:hAnsi="Arial" w:cs="Arial"/>
          <w:sz w:val="26"/>
          <w:szCs w:val="26"/>
        </w:rPr>
        <w:t>In preparing this report the relevance of the following factors has been considered: prevention of crime &amp; disorder, equality of opportunity, human resources, legal &amp; human rights, environmental, financial, health, property and transport considerations.</w:t>
      </w:r>
    </w:p>
    <w:p w:rsidRPr="009A56DE" w:rsidR="00F94CD0" w:rsidP="004B76A4" w:rsidRDefault="00F94CD0">
      <w:pPr>
        <w:tabs>
          <w:tab w:val="left" w:pos="851"/>
        </w:tabs>
        <w:ind w:left="284"/>
        <w:rPr>
          <w:rFonts w:ascii="Arial" w:hAnsi="Arial" w:cs="Arial"/>
          <w:sz w:val="26"/>
          <w:szCs w:val="26"/>
        </w:rPr>
      </w:pPr>
    </w:p>
    <w:p w:rsidRPr="009A56DE" w:rsidR="00F101F1" w:rsidP="00F101F1" w:rsidRDefault="00433514">
      <w:pPr>
        <w:ind w:left="284"/>
        <w:rPr>
          <w:rFonts w:ascii="Arial" w:hAnsi="Arial" w:cs="Arial"/>
          <w:b/>
          <w:sz w:val="26"/>
          <w:szCs w:val="26"/>
          <w:u w:val="single"/>
        </w:rPr>
      </w:pPr>
      <w:r w:rsidRPr="009A56DE">
        <w:rPr>
          <w:rFonts w:ascii="Arial" w:hAnsi="Arial" w:cs="Arial"/>
          <w:b/>
          <w:sz w:val="26"/>
          <w:szCs w:val="26"/>
        </w:rPr>
        <w:t>4</w:t>
      </w:r>
      <w:r w:rsidRPr="009A56DE" w:rsidR="00B73C3D">
        <w:rPr>
          <w:rFonts w:ascii="Arial" w:hAnsi="Arial" w:cs="Arial"/>
          <w:b/>
          <w:sz w:val="26"/>
          <w:szCs w:val="26"/>
        </w:rPr>
        <w:t>.</w:t>
      </w:r>
      <w:r w:rsidRPr="009A56DE" w:rsidR="00B73C3D">
        <w:rPr>
          <w:rFonts w:ascii="Arial" w:hAnsi="Arial" w:cs="Arial"/>
          <w:b/>
          <w:sz w:val="26"/>
          <w:szCs w:val="26"/>
        </w:rPr>
        <w:tab/>
      </w:r>
      <w:r w:rsidRPr="009A56DE" w:rsidR="00B73C3D">
        <w:rPr>
          <w:rFonts w:ascii="Arial" w:hAnsi="Arial" w:cs="Arial"/>
          <w:b/>
          <w:sz w:val="26"/>
          <w:szCs w:val="26"/>
          <w:u w:val="single"/>
        </w:rPr>
        <w:t>Background Papers</w:t>
      </w:r>
    </w:p>
    <w:p w:rsidRPr="009A56DE" w:rsidR="00F101F1" w:rsidP="00F101F1" w:rsidRDefault="00F101F1">
      <w:pPr>
        <w:ind w:left="284"/>
        <w:rPr>
          <w:rFonts w:ascii="Arial" w:hAnsi="Arial" w:cs="Arial"/>
          <w:b/>
          <w:sz w:val="26"/>
          <w:szCs w:val="26"/>
        </w:rPr>
      </w:pPr>
    </w:p>
    <w:p w:rsidRPr="009A56DE" w:rsidR="00B73C3D" w:rsidP="00F101F1" w:rsidRDefault="00F101F1">
      <w:pPr>
        <w:ind w:left="284"/>
        <w:rPr>
          <w:rFonts w:ascii="Arial" w:hAnsi="Arial" w:cs="Arial"/>
          <w:b/>
          <w:sz w:val="26"/>
          <w:szCs w:val="26"/>
        </w:rPr>
      </w:pPr>
      <w:r w:rsidRPr="009A56DE">
        <w:rPr>
          <w:rFonts w:ascii="Arial" w:hAnsi="Arial" w:cs="Arial"/>
          <w:sz w:val="26"/>
          <w:szCs w:val="26"/>
        </w:rPr>
        <w:t>Papers held in C</w:t>
      </w:r>
      <w:r w:rsidRPr="009A56DE" w:rsidR="001F5A2F">
        <w:rPr>
          <w:rFonts w:ascii="Arial" w:hAnsi="Arial" w:cs="Arial"/>
          <w:sz w:val="26"/>
          <w:szCs w:val="26"/>
        </w:rPr>
        <w:t xml:space="preserve">hildren’s Services </w:t>
      </w:r>
      <w:r w:rsidRPr="009A56DE">
        <w:rPr>
          <w:rFonts w:ascii="Arial" w:hAnsi="Arial" w:cs="Arial"/>
          <w:sz w:val="26"/>
          <w:szCs w:val="26"/>
        </w:rPr>
        <w:t>Finance</w:t>
      </w:r>
      <w:r w:rsidRPr="009A56DE" w:rsidR="00A042FC">
        <w:rPr>
          <w:rFonts w:ascii="Arial" w:hAnsi="Arial" w:cs="Arial"/>
          <w:sz w:val="26"/>
          <w:szCs w:val="26"/>
        </w:rPr>
        <w:t>.</w:t>
      </w:r>
    </w:p>
    <w:p w:rsidRPr="009A56DE" w:rsidR="00B73C3D" w:rsidP="00F101F1" w:rsidRDefault="00B73C3D">
      <w:pPr>
        <w:ind w:left="284"/>
        <w:rPr>
          <w:rFonts w:ascii="Arial" w:hAnsi="Arial" w:cs="Arial"/>
          <w:sz w:val="26"/>
          <w:szCs w:val="26"/>
        </w:rPr>
      </w:pPr>
    </w:p>
    <w:p w:rsidRPr="009A56DE" w:rsidR="00B73C3D" w:rsidP="00F101F1" w:rsidRDefault="00433514">
      <w:pPr>
        <w:ind w:left="284"/>
        <w:rPr>
          <w:rFonts w:ascii="Arial" w:hAnsi="Arial" w:cs="Arial"/>
          <w:b/>
          <w:sz w:val="26"/>
          <w:szCs w:val="26"/>
        </w:rPr>
      </w:pPr>
      <w:r w:rsidRPr="009A56DE">
        <w:rPr>
          <w:rFonts w:ascii="Arial" w:hAnsi="Arial" w:cs="Arial"/>
          <w:b/>
          <w:sz w:val="26"/>
          <w:szCs w:val="26"/>
        </w:rPr>
        <w:t>5</w:t>
      </w:r>
      <w:r w:rsidRPr="009A56DE" w:rsidR="00B73C3D">
        <w:rPr>
          <w:rFonts w:ascii="Arial" w:hAnsi="Arial" w:cs="Arial"/>
          <w:b/>
          <w:sz w:val="26"/>
          <w:szCs w:val="26"/>
        </w:rPr>
        <w:t>.</w:t>
      </w:r>
      <w:r w:rsidRPr="009A56DE" w:rsidR="00B73C3D">
        <w:rPr>
          <w:rFonts w:ascii="Arial" w:hAnsi="Arial" w:cs="Arial"/>
          <w:b/>
          <w:sz w:val="26"/>
          <w:szCs w:val="26"/>
        </w:rPr>
        <w:tab/>
      </w:r>
      <w:r w:rsidRPr="009A56DE" w:rsidR="00B73C3D">
        <w:rPr>
          <w:rFonts w:ascii="Arial" w:hAnsi="Arial" w:cs="Arial"/>
          <w:b/>
          <w:sz w:val="26"/>
          <w:szCs w:val="26"/>
          <w:u w:val="single"/>
        </w:rPr>
        <w:t>Officer’s Recommendation</w:t>
      </w:r>
      <w:r w:rsidRPr="009A56DE" w:rsidR="00B73C3D">
        <w:rPr>
          <w:rFonts w:ascii="Arial" w:hAnsi="Arial" w:cs="Arial"/>
          <w:b/>
          <w:sz w:val="26"/>
          <w:szCs w:val="26"/>
        </w:rPr>
        <w:t xml:space="preserve"> </w:t>
      </w:r>
    </w:p>
    <w:p w:rsidRPr="009A56DE" w:rsidR="00B73C3D" w:rsidP="00F101F1" w:rsidRDefault="00B73C3D">
      <w:pPr>
        <w:pStyle w:val="ListParagraph"/>
        <w:ind w:left="284"/>
        <w:rPr>
          <w:rFonts w:ascii="Arial" w:hAnsi="Arial" w:cs="Arial"/>
          <w:sz w:val="26"/>
          <w:szCs w:val="26"/>
        </w:rPr>
      </w:pPr>
    </w:p>
    <w:p w:rsidR="008A5838" w:rsidP="00AA7E53" w:rsidRDefault="00F26A7F">
      <w:pPr>
        <w:ind w:left="284"/>
        <w:rPr>
          <w:rFonts w:ascii="Arial" w:hAnsi="Arial" w:cs="Arial"/>
          <w:sz w:val="26"/>
          <w:szCs w:val="26"/>
        </w:rPr>
      </w:pPr>
      <w:r>
        <w:rPr>
          <w:rFonts w:ascii="Arial" w:hAnsi="Arial" w:cs="Arial"/>
          <w:sz w:val="26"/>
          <w:szCs w:val="26"/>
        </w:rPr>
        <w:t>That the Forum</w:t>
      </w:r>
      <w:r w:rsidR="00AA7E53">
        <w:rPr>
          <w:rFonts w:ascii="Arial" w:hAnsi="Arial" w:cs="Arial"/>
          <w:sz w:val="26"/>
          <w:szCs w:val="26"/>
        </w:rPr>
        <w:t xml:space="preserve"> </w:t>
      </w:r>
      <w:r w:rsidRPr="001503B7">
        <w:rPr>
          <w:rFonts w:ascii="Arial" w:hAnsi="Arial" w:cs="Arial"/>
          <w:sz w:val="26"/>
          <w:szCs w:val="26"/>
        </w:rPr>
        <w:t xml:space="preserve">notes the </w:t>
      </w:r>
      <w:r w:rsidRPr="001503B7" w:rsidR="001503B7">
        <w:rPr>
          <w:rFonts w:ascii="Arial" w:hAnsi="Arial" w:cs="Arial"/>
          <w:sz w:val="26"/>
          <w:szCs w:val="26"/>
        </w:rPr>
        <w:t>indicative pupil growth funding for 2018</w:t>
      </w:r>
      <w:r w:rsidR="003339A1">
        <w:rPr>
          <w:rFonts w:ascii="Arial" w:hAnsi="Arial" w:cs="Arial"/>
          <w:sz w:val="26"/>
          <w:szCs w:val="26"/>
        </w:rPr>
        <w:t>-19</w:t>
      </w:r>
      <w:r w:rsidR="00AA7E53">
        <w:rPr>
          <w:rFonts w:ascii="Arial" w:hAnsi="Arial" w:cs="Arial"/>
          <w:sz w:val="26"/>
          <w:szCs w:val="26"/>
        </w:rPr>
        <w:t xml:space="preserve"> and agrees to:</w:t>
      </w:r>
    </w:p>
    <w:p w:rsidR="00AA7E53" w:rsidP="00AA7E53" w:rsidRDefault="00AA7E53">
      <w:pPr>
        <w:ind w:left="284"/>
        <w:rPr>
          <w:rFonts w:ascii="Arial" w:hAnsi="Arial" w:cs="Arial"/>
          <w:sz w:val="26"/>
          <w:szCs w:val="26"/>
        </w:rPr>
      </w:pPr>
    </w:p>
    <w:p w:rsidR="001503B7" w:rsidP="001503B7" w:rsidRDefault="001503B7">
      <w:pPr>
        <w:pStyle w:val="ListParagraph"/>
        <w:numPr>
          <w:ilvl w:val="0"/>
          <w:numId w:val="7"/>
        </w:numPr>
        <w:rPr>
          <w:rFonts w:ascii="Arial" w:hAnsi="Arial" w:cs="Arial"/>
          <w:sz w:val="26"/>
          <w:szCs w:val="26"/>
        </w:rPr>
      </w:pPr>
      <w:r>
        <w:rPr>
          <w:rFonts w:ascii="Arial" w:hAnsi="Arial" w:cs="Arial"/>
          <w:sz w:val="26"/>
          <w:szCs w:val="26"/>
        </w:rPr>
        <w:t>set aside £1.</w:t>
      </w:r>
      <w:r w:rsidR="00BD0F25">
        <w:rPr>
          <w:rFonts w:ascii="Arial" w:hAnsi="Arial" w:cs="Arial"/>
          <w:sz w:val="26"/>
          <w:szCs w:val="26"/>
        </w:rPr>
        <w:t>10</w:t>
      </w:r>
      <w:r>
        <w:rPr>
          <w:rFonts w:ascii="Arial" w:hAnsi="Arial" w:cs="Arial"/>
          <w:sz w:val="26"/>
          <w:szCs w:val="26"/>
        </w:rPr>
        <w:t xml:space="preserve">m to support Key Stage 1 class size requirements; </w:t>
      </w:r>
    </w:p>
    <w:p w:rsidR="00AA7E53" w:rsidP="001503B7" w:rsidRDefault="00AA7E53">
      <w:pPr>
        <w:pStyle w:val="ListParagraph"/>
        <w:numPr>
          <w:ilvl w:val="0"/>
          <w:numId w:val="7"/>
        </w:numPr>
        <w:rPr>
          <w:rFonts w:ascii="Arial" w:hAnsi="Arial" w:cs="Arial"/>
          <w:sz w:val="26"/>
          <w:szCs w:val="26"/>
        </w:rPr>
      </w:pPr>
      <w:r>
        <w:rPr>
          <w:rFonts w:ascii="Arial" w:hAnsi="Arial" w:cs="Arial"/>
          <w:sz w:val="26"/>
          <w:szCs w:val="26"/>
        </w:rPr>
        <w:t>set aside £0.</w:t>
      </w:r>
      <w:r w:rsidR="00A3122F">
        <w:rPr>
          <w:rFonts w:ascii="Arial" w:hAnsi="Arial" w:cs="Arial"/>
          <w:sz w:val="26"/>
          <w:szCs w:val="26"/>
        </w:rPr>
        <w:t>25</w:t>
      </w:r>
      <w:r>
        <w:rPr>
          <w:rFonts w:ascii="Arial" w:hAnsi="Arial" w:cs="Arial"/>
          <w:sz w:val="26"/>
          <w:szCs w:val="26"/>
        </w:rPr>
        <w:t xml:space="preserve">m to support in year increases </w:t>
      </w:r>
      <w:r w:rsidR="00494255">
        <w:rPr>
          <w:rFonts w:ascii="Arial" w:hAnsi="Arial" w:cs="Arial"/>
          <w:sz w:val="26"/>
          <w:szCs w:val="26"/>
        </w:rPr>
        <w:t xml:space="preserve">in pupil numbers </w:t>
      </w:r>
      <w:r>
        <w:rPr>
          <w:rFonts w:ascii="Arial" w:hAnsi="Arial" w:cs="Arial"/>
          <w:sz w:val="26"/>
          <w:szCs w:val="26"/>
        </w:rPr>
        <w:t xml:space="preserve">for </w:t>
      </w:r>
      <w:r w:rsidR="00494255">
        <w:rPr>
          <w:rFonts w:ascii="Arial" w:hAnsi="Arial" w:cs="Arial"/>
          <w:sz w:val="26"/>
          <w:szCs w:val="26"/>
        </w:rPr>
        <w:t xml:space="preserve">schools and </w:t>
      </w:r>
      <w:r>
        <w:rPr>
          <w:rFonts w:ascii="Arial" w:hAnsi="Arial" w:cs="Arial"/>
          <w:sz w:val="26"/>
          <w:szCs w:val="26"/>
        </w:rPr>
        <w:t>academies</w:t>
      </w:r>
      <w:r w:rsidR="00494255">
        <w:rPr>
          <w:rFonts w:ascii="Arial" w:hAnsi="Arial" w:cs="Arial"/>
          <w:sz w:val="26"/>
          <w:szCs w:val="26"/>
        </w:rPr>
        <w:t xml:space="preserve"> as set out in </w:t>
      </w:r>
      <w:r w:rsidR="00A3122F">
        <w:rPr>
          <w:rFonts w:ascii="Arial" w:hAnsi="Arial" w:cs="Arial"/>
          <w:sz w:val="26"/>
          <w:szCs w:val="26"/>
        </w:rPr>
        <w:t>section 2.2.1</w:t>
      </w:r>
      <w:r>
        <w:rPr>
          <w:rFonts w:ascii="Arial" w:hAnsi="Arial" w:cs="Arial"/>
          <w:sz w:val="26"/>
          <w:szCs w:val="26"/>
        </w:rPr>
        <w:t xml:space="preserve">; </w:t>
      </w:r>
    </w:p>
    <w:p w:rsidR="00F92E6E" w:rsidP="001503B7" w:rsidRDefault="001503B7">
      <w:pPr>
        <w:pStyle w:val="ListParagraph"/>
        <w:numPr>
          <w:ilvl w:val="0"/>
          <w:numId w:val="7"/>
        </w:numPr>
        <w:rPr>
          <w:rFonts w:ascii="Arial" w:hAnsi="Arial" w:cs="Arial"/>
          <w:sz w:val="26"/>
          <w:szCs w:val="26"/>
        </w:rPr>
      </w:pPr>
      <w:r>
        <w:rPr>
          <w:rFonts w:ascii="Arial" w:hAnsi="Arial" w:cs="Arial"/>
          <w:sz w:val="26"/>
          <w:szCs w:val="26"/>
        </w:rPr>
        <w:t xml:space="preserve">allocate the balance </w:t>
      </w:r>
      <w:r w:rsidR="00AA7E53">
        <w:rPr>
          <w:rFonts w:ascii="Arial" w:hAnsi="Arial" w:cs="Arial"/>
          <w:sz w:val="26"/>
          <w:szCs w:val="26"/>
        </w:rPr>
        <w:t xml:space="preserve">of the funding </w:t>
      </w:r>
      <w:r>
        <w:rPr>
          <w:rFonts w:ascii="Arial" w:hAnsi="Arial" w:cs="Arial"/>
          <w:sz w:val="26"/>
          <w:szCs w:val="26"/>
        </w:rPr>
        <w:t>to support new free schools</w:t>
      </w:r>
      <w:r w:rsidR="00F92E6E">
        <w:rPr>
          <w:rFonts w:ascii="Arial" w:hAnsi="Arial" w:cs="Arial"/>
          <w:sz w:val="26"/>
          <w:szCs w:val="26"/>
        </w:rPr>
        <w:t>; and</w:t>
      </w:r>
    </w:p>
    <w:p w:rsidRPr="001503B7" w:rsidR="001503B7" w:rsidP="001503B7" w:rsidRDefault="000022E3">
      <w:pPr>
        <w:pStyle w:val="ListParagraph"/>
        <w:numPr>
          <w:ilvl w:val="0"/>
          <w:numId w:val="7"/>
        </w:numPr>
        <w:rPr>
          <w:rFonts w:ascii="Arial" w:hAnsi="Arial" w:cs="Arial"/>
          <w:sz w:val="26"/>
          <w:szCs w:val="26"/>
        </w:rPr>
      </w:pPr>
      <w:proofErr w:type="gramStart"/>
      <w:r>
        <w:rPr>
          <w:rFonts w:ascii="Arial" w:hAnsi="Arial" w:cs="Arial"/>
          <w:sz w:val="26"/>
          <w:szCs w:val="26"/>
        </w:rPr>
        <w:t>carry</w:t>
      </w:r>
      <w:proofErr w:type="gramEnd"/>
      <w:r>
        <w:rPr>
          <w:rFonts w:ascii="Arial" w:hAnsi="Arial" w:cs="Arial"/>
          <w:sz w:val="26"/>
          <w:szCs w:val="26"/>
        </w:rPr>
        <w:t xml:space="preserve"> forward any </w:t>
      </w:r>
      <w:r w:rsidR="00F92E6E">
        <w:rPr>
          <w:rFonts w:ascii="Arial" w:hAnsi="Arial" w:cs="Arial"/>
          <w:sz w:val="26"/>
          <w:szCs w:val="26"/>
        </w:rPr>
        <w:t xml:space="preserve">underspend against the budget in (iii) in a reserve to </w:t>
      </w:r>
      <w:r w:rsidR="00A3122F">
        <w:rPr>
          <w:rFonts w:ascii="Arial" w:hAnsi="Arial" w:cs="Arial"/>
          <w:sz w:val="26"/>
          <w:szCs w:val="26"/>
        </w:rPr>
        <w:t xml:space="preserve">help </w:t>
      </w:r>
      <w:r w:rsidR="00F92E6E">
        <w:rPr>
          <w:rFonts w:ascii="Arial" w:hAnsi="Arial" w:cs="Arial"/>
          <w:sz w:val="26"/>
          <w:szCs w:val="26"/>
        </w:rPr>
        <w:t>meet future years’ costs</w:t>
      </w:r>
      <w:r w:rsidR="001503B7">
        <w:rPr>
          <w:rFonts w:ascii="Arial" w:hAnsi="Arial" w:cs="Arial"/>
          <w:sz w:val="26"/>
          <w:szCs w:val="26"/>
        </w:rPr>
        <w:t>.</w:t>
      </w:r>
    </w:p>
    <w:p w:rsidRPr="009A56DE" w:rsidR="006810BE" w:rsidP="00F101F1" w:rsidRDefault="006810BE">
      <w:pPr>
        <w:pStyle w:val="ListParagraph"/>
        <w:ind w:left="284"/>
        <w:rPr>
          <w:rFonts w:ascii="Arial" w:hAnsi="Arial" w:cs="Arial"/>
          <w:sz w:val="26"/>
          <w:szCs w:val="26"/>
        </w:rPr>
      </w:pPr>
    </w:p>
    <w:p w:rsidRPr="009A56DE" w:rsidR="00885834" w:rsidP="00885834" w:rsidRDefault="00E024A0">
      <w:pPr>
        <w:jc w:val="center"/>
        <w:rPr>
          <w:rFonts w:ascii="Arial" w:hAnsi="Arial" w:cs="Arial"/>
          <w:b/>
          <w:sz w:val="26"/>
          <w:szCs w:val="26"/>
        </w:rPr>
      </w:pPr>
      <w:r w:rsidRPr="009A56DE">
        <w:rPr>
          <w:rFonts w:ascii="Arial" w:hAnsi="Arial" w:cs="Arial"/>
          <w:b/>
          <w:sz w:val="26"/>
          <w:szCs w:val="26"/>
        </w:rPr>
        <w:t>JANE PARFREMENT</w:t>
      </w:r>
    </w:p>
    <w:p w:rsidR="00C43375" w:rsidP="00C43375" w:rsidRDefault="00B73C3D">
      <w:pPr>
        <w:ind w:left="709"/>
        <w:jc w:val="center"/>
        <w:rPr>
          <w:rFonts w:ascii="Arial" w:hAnsi="Arial" w:cs="Arial"/>
          <w:b/>
          <w:sz w:val="26"/>
          <w:szCs w:val="26"/>
        </w:rPr>
        <w:sectPr w:rsidR="00C43375" w:rsidSect="00760B1F">
          <w:footerReference w:type="default" r:id="rId9"/>
          <w:pgSz w:w="11906" w:h="16838"/>
          <w:pgMar w:top="567" w:right="849" w:bottom="993" w:left="567" w:header="708" w:footer="129" w:gutter="0"/>
          <w:cols w:space="708"/>
          <w:docGrid w:linePitch="360"/>
        </w:sectPr>
      </w:pPr>
      <w:r w:rsidRPr="009A56DE">
        <w:rPr>
          <w:rFonts w:ascii="Arial" w:hAnsi="Arial" w:cs="Arial"/>
          <w:b/>
          <w:sz w:val="26"/>
          <w:szCs w:val="26"/>
        </w:rPr>
        <w:t>Strategic Director for Children</w:t>
      </w:r>
      <w:r w:rsidRPr="009A56DE" w:rsidR="00E352A1">
        <w:rPr>
          <w:rFonts w:ascii="Arial" w:hAnsi="Arial" w:cs="Arial"/>
          <w:b/>
          <w:sz w:val="26"/>
          <w:szCs w:val="26"/>
        </w:rPr>
        <w:t>’s Services</w:t>
      </w:r>
    </w:p>
    <w:p w:rsidR="006A169B" w:rsidP="009C3F70" w:rsidRDefault="009C3F70">
      <w:pPr>
        <w:ind w:left="284"/>
      </w:pPr>
      <w:r w:rsidRPr="009C3F70">
        <w:rPr>
          <w:noProof/>
          <w:lang w:eastAsia="en-GB"/>
        </w:rPr>
        <w:lastRenderedPageBreak/>
        <w:drawing>
          <wp:inline distT="0" distB="0" distL="0" distR="0">
            <wp:extent cx="6482313" cy="9483047"/>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8685" cy="9492369"/>
                    </a:xfrm>
                    <a:prstGeom prst="rect">
                      <a:avLst/>
                    </a:prstGeom>
                    <a:noFill/>
                    <a:ln>
                      <a:noFill/>
                    </a:ln>
                  </pic:spPr>
                </pic:pic>
              </a:graphicData>
            </a:graphic>
          </wp:inline>
        </w:drawing>
      </w:r>
    </w:p>
    <w:p w:rsidR="00966E62" w:rsidP="0099567C" w:rsidRDefault="00966E62">
      <w:pPr>
        <w:ind w:left="426"/>
        <w:rPr>
          <w:noProof/>
          <w:lang w:eastAsia="en-GB"/>
        </w:rPr>
      </w:pPr>
      <w:r w:rsidRPr="009C3F70">
        <w:rPr>
          <w:noProof/>
          <w:lang w:eastAsia="en-GB"/>
        </w:rPr>
        <w:lastRenderedPageBreak/>
        <w:drawing>
          <wp:inline distT="0" distB="0" distL="0" distR="0" wp14:anchorId="640BE011" wp14:editId="369FD2E7">
            <wp:extent cx="6380480" cy="9472773"/>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81525" cy="9474325"/>
                    </a:xfrm>
                    <a:prstGeom prst="rect">
                      <a:avLst/>
                    </a:prstGeom>
                    <a:noFill/>
                    <a:ln>
                      <a:noFill/>
                    </a:ln>
                  </pic:spPr>
                </pic:pic>
              </a:graphicData>
            </a:graphic>
          </wp:inline>
        </w:drawing>
      </w:r>
    </w:p>
    <w:sectPr w:rsidR="00966E62" w:rsidSect="00542F9C">
      <w:pgSz w:w="11906" w:h="16838"/>
      <w:pgMar w:top="426" w:right="424" w:bottom="709"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4C3" w:rsidRDefault="00CF24C3" w:rsidP="00085F2B">
      <w:r>
        <w:separator/>
      </w:r>
    </w:p>
  </w:endnote>
  <w:endnote w:type="continuationSeparator" w:id="0">
    <w:p w:rsidR="00CF24C3" w:rsidRDefault="00CF24C3" w:rsidP="000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erial">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943626"/>
      <w:docPartObj>
        <w:docPartGallery w:val="Page Numbers (Bottom of Page)"/>
        <w:docPartUnique/>
      </w:docPartObj>
    </w:sdtPr>
    <w:sdtEndPr>
      <w:rPr>
        <w:noProof/>
      </w:rPr>
    </w:sdtEndPr>
    <w:sdtContent>
      <w:p w:rsidR="00CF24C3" w:rsidRDefault="00966E62" w:rsidP="00966E62">
        <w:pPr>
          <w:pStyle w:val="Footer"/>
          <w:tabs>
            <w:tab w:val="left" w:pos="3226"/>
            <w:tab w:val="center" w:pos="5245"/>
          </w:tabs>
        </w:pPr>
        <w:r>
          <w:tab/>
        </w:r>
        <w:r>
          <w:tab/>
        </w:r>
        <w:r>
          <w:tab/>
        </w:r>
        <w:r w:rsidR="00CF24C3">
          <w:fldChar w:fldCharType="begin"/>
        </w:r>
        <w:r w:rsidR="00CF24C3">
          <w:instrText xml:space="preserve"> PAGE   \* MERGEFORMAT </w:instrText>
        </w:r>
        <w:r w:rsidR="00CF24C3">
          <w:fldChar w:fldCharType="separate"/>
        </w:r>
        <w:r w:rsidR="000830CC">
          <w:rPr>
            <w:noProof/>
          </w:rPr>
          <w:t>6</w:t>
        </w:r>
        <w:r w:rsidR="00CF24C3">
          <w:rPr>
            <w:noProof/>
          </w:rPr>
          <w:fldChar w:fldCharType="end"/>
        </w:r>
      </w:p>
    </w:sdtContent>
  </w:sdt>
  <w:p w:rsidR="00CF24C3" w:rsidRDefault="00CF24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4C3" w:rsidRDefault="00CF24C3" w:rsidP="00085F2B">
      <w:r>
        <w:separator/>
      </w:r>
    </w:p>
  </w:footnote>
  <w:footnote w:type="continuationSeparator" w:id="0">
    <w:p w:rsidR="00CF24C3" w:rsidRDefault="00CF24C3" w:rsidP="00085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A388A"/>
    <w:multiLevelType w:val="hybridMultilevel"/>
    <w:tmpl w:val="8CF04F10"/>
    <w:lvl w:ilvl="0" w:tplc="FE968C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1B682D"/>
    <w:multiLevelType w:val="hybridMultilevel"/>
    <w:tmpl w:val="AE8A9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EA75DC"/>
    <w:multiLevelType w:val="hybridMultilevel"/>
    <w:tmpl w:val="9BE8B5D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2F824218"/>
    <w:multiLevelType w:val="hybridMultilevel"/>
    <w:tmpl w:val="36DCDD3A"/>
    <w:lvl w:ilvl="0" w:tplc="504C05E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32BE5151"/>
    <w:multiLevelType w:val="hybridMultilevel"/>
    <w:tmpl w:val="4C140048"/>
    <w:lvl w:ilvl="0" w:tplc="3B7691A8">
      <w:start w:val="1"/>
      <w:numFmt w:val="decimal"/>
      <w:lvlText w:val="%1."/>
      <w:lvlJc w:val="left"/>
      <w:pPr>
        <w:ind w:left="2767" w:hanging="360"/>
      </w:pPr>
      <w:rPr>
        <w:rFonts w:hint="default"/>
        <w:u w:val="none"/>
      </w:rPr>
    </w:lvl>
    <w:lvl w:ilvl="1" w:tplc="08090019" w:tentative="1">
      <w:start w:val="1"/>
      <w:numFmt w:val="lowerLetter"/>
      <w:lvlText w:val="%2."/>
      <w:lvlJc w:val="left"/>
      <w:pPr>
        <w:ind w:left="3487" w:hanging="360"/>
      </w:pPr>
    </w:lvl>
    <w:lvl w:ilvl="2" w:tplc="0809001B" w:tentative="1">
      <w:start w:val="1"/>
      <w:numFmt w:val="lowerRoman"/>
      <w:lvlText w:val="%3."/>
      <w:lvlJc w:val="right"/>
      <w:pPr>
        <w:ind w:left="4207" w:hanging="180"/>
      </w:pPr>
    </w:lvl>
    <w:lvl w:ilvl="3" w:tplc="0809000F" w:tentative="1">
      <w:start w:val="1"/>
      <w:numFmt w:val="decimal"/>
      <w:lvlText w:val="%4."/>
      <w:lvlJc w:val="left"/>
      <w:pPr>
        <w:ind w:left="4927" w:hanging="360"/>
      </w:pPr>
    </w:lvl>
    <w:lvl w:ilvl="4" w:tplc="08090019" w:tentative="1">
      <w:start w:val="1"/>
      <w:numFmt w:val="lowerLetter"/>
      <w:lvlText w:val="%5."/>
      <w:lvlJc w:val="left"/>
      <w:pPr>
        <w:ind w:left="5647" w:hanging="360"/>
      </w:pPr>
    </w:lvl>
    <w:lvl w:ilvl="5" w:tplc="0809001B" w:tentative="1">
      <w:start w:val="1"/>
      <w:numFmt w:val="lowerRoman"/>
      <w:lvlText w:val="%6."/>
      <w:lvlJc w:val="right"/>
      <w:pPr>
        <w:ind w:left="6367" w:hanging="180"/>
      </w:pPr>
    </w:lvl>
    <w:lvl w:ilvl="6" w:tplc="0809000F" w:tentative="1">
      <w:start w:val="1"/>
      <w:numFmt w:val="decimal"/>
      <w:lvlText w:val="%7."/>
      <w:lvlJc w:val="left"/>
      <w:pPr>
        <w:ind w:left="7087" w:hanging="360"/>
      </w:pPr>
    </w:lvl>
    <w:lvl w:ilvl="7" w:tplc="08090019" w:tentative="1">
      <w:start w:val="1"/>
      <w:numFmt w:val="lowerLetter"/>
      <w:lvlText w:val="%8."/>
      <w:lvlJc w:val="left"/>
      <w:pPr>
        <w:ind w:left="7807" w:hanging="360"/>
      </w:pPr>
    </w:lvl>
    <w:lvl w:ilvl="8" w:tplc="0809001B" w:tentative="1">
      <w:start w:val="1"/>
      <w:numFmt w:val="lowerRoman"/>
      <w:lvlText w:val="%9."/>
      <w:lvlJc w:val="right"/>
      <w:pPr>
        <w:ind w:left="8527" w:hanging="180"/>
      </w:pPr>
    </w:lvl>
  </w:abstractNum>
  <w:abstractNum w:abstractNumId="5" w15:restartNumberingAfterBreak="0">
    <w:nsid w:val="4318358B"/>
    <w:multiLevelType w:val="hybridMultilevel"/>
    <w:tmpl w:val="E482F96E"/>
    <w:lvl w:ilvl="0" w:tplc="565EC598">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6" w15:restartNumberingAfterBreak="0">
    <w:nsid w:val="47B529C0"/>
    <w:multiLevelType w:val="hybridMultilevel"/>
    <w:tmpl w:val="DA7A2A04"/>
    <w:lvl w:ilvl="0" w:tplc="BBBED8EC">
      <w:start w:val="1"/>
      <w:numFmt w:val="bullet"/>
      <w:lvlRestart w:val="0"/>
      <w:pStyle w:val="DfES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7" w15:restartNumberingAfterBreak="0">
    <w:nsid w:val="71D545DB"/>
    <w:multiLevelType w:val="hybridMultilevel"/>
    <w:tmpl w:val="269232F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7"/>
  </w:num>
  <w:num w:numId="6">
    <w:abstractNumId w:val="5"/>
  </w:num>
  <w:num w:numId="7">
    <w:abstractNumId w:val="3"/>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502"/>
    <w:rsid w:val="000004CD"/>
    <w:rsid w:val="000022E3"/>
    <w:rsid w:val="000027BC"/>
    <w:rsid w:val="000028E2"/>
    <w:rsid w:val="00003225"/>
    <w:rsid w:val="0000398B"/>
    <w:rsid w:val="00004667"/>
    <w:rsid w:val="00006782"/>
    <w:rsid w:val="0000788A"/>
    <w:rsid w:val="000122A0"/>
    <w:rsid w:val="00014742"/>
    <w:rsid w:val="00022928"/>
    <w:rsid w:val="000255F1"/>
    <w:rsid w:val="0002634B"/>
    <w:rsid w:val="00027473"/>
    <w:rsid w:val="0004049A"/>
    <w:rsid w:val="00041886"/>
    <w:rsid w:val="000432F4"/>
    <w:rsid w:val="00043F4E"/>
    <w:rsid w:val="00044576"/>
    <w:rsid w:val="00044F6F"/>
    <w:rsid w:val="00053B19"/>
    <w:rsid w:val="00054B8A"/>
    <w:rsid w:val="0005759E"/>
    <w:rsid w:val="00060A66"/>
    <w:rsid w:val="000635E0"/>
    <w:rsid w:val="00066E6E"/>
    <w:rsid w:val="000737F8"/>
    <w:rsid w:val="000758E0"/>
    <w:rsid w:val="00075C05"/>
    <w:rsid w:val="000769E4"/>
    <w:rsid w:val="00077C3D"/>
    <w:rsid w:val="00082C6D"/>
    <w:rsid w:val="000830CC"/>
    <w:rsid w:val="00085CD8"/>
    <w:rsid w:val="00085F2B"/>
    <w:rsid w:val="00087BF7"/>
    <w:rsid w:val="00091F5E"/>
    <w:rsid w:val="00094C52"/>
    <w:rsid w:val="000B1897"/>
    <w:rsid w:val="000B3F61"/>
    <w:rsid w:val="000B5333"/>
    <w:rsid w:val="000C666C"/>
    <w:rsid w:val="000D013F"/>
    <w:rsid w:val="000D2210"/>
    <w:rsid w:val="000D2278"/>
    <w:rsid w:val="000D6ABE"/>
    <w:rsid w:val="000D77D0"/>
    <w:rsid w:val="000E4682"/>
    <w:rsid w:val="000E490A"/>
    <w:rsid w:val="000E6D48"/>
    <w:rsid w:val="000E7029"/>
    <w:rsid w:val="000E7CF1"/>
    <w:rsid w:val="00101579"/>
    <w:rsid w:val="0010674B"/>
    <w:rsid w:val="00113647"/>
    <w:rsid w:val="00116D66"/>
    <w:rsid w:val="00117C56"/>
    <w:rsid w:val="001201F6"/>
    <w:rsid w:val="00122D4E"/>
    <w:rsid w:val="00123605"/>
    <w:rsid w:val="001250EB"/>
    <w:rsid w:val="00126711"/>
    <w:rsid w:val="00127371"/>
    <w:rsid w:val="00127AD2"/>
    <w:rsid w:val="001332AE"/>
    <w:rsid w:val="001350B1"/>
    <w:rsid w:val="00136D10"/>
    <w:rsid w:val="001406CC"/>
    <w:rsid w:val="00141CA2"/>
    <w:rsid w:val="00142E95"/>
    <w:rsid w:val="001503B7"/>
    <w:rsid w:val="00151BC7"/>
    <w:rsid w:val="0015308F"/>
    <w:rsid w:val="001566C3"/>
    <w:rsid w:val="00156CB8"/>
    <w:rsid w:val="00160312"/>
    <w:rsid w:val="00161201"/>
    <w:rsid w:val="001619DF"/>
    <w:rsid w:val="0016360F"/>
    <w:rsid w:val="001645FB"/>
    <w:rsid w:val="001649BE"/>
    <w:rsid w:val="00167FB5"/>
    <w:rsid w:val="00170363"/>
    <w:rsid w:val="00174A1D"/>
    <w:rsid w:val="00174C6B"/>
    <w:rsid w:val="00174D14"/>
    <w:rsid w:val="00174DB2"/>
    <w:rsid w:val="00175878"/>
    <w:rsid w:val="00183588"/>
    <w:rsid w:val="00187E75"/>
    <w:rsid w:val="00190C5C"/>
    <w:rsid w:val="001923CE"/>
    <w:rsid w:val="00192AE5"/>
    <w:rsid w:val="00197DCA"/>
    <w:rsid w:val="001A2FEA"/>
    <w:rsid w:val="001A3312"/>
    <w:rsid w:val="001B14EB"/>
    <w:rsid w:val="001B1795"/>
    <w:rsid w:val="001B354A"/>
    <w:rsid w:val="001B7E57"/>
    <w:rsid w:val="001C322D"/>
    <w:rsid w:val="001C58AE"/>
    <w:rsid w:val="001C620C"/>
    <w:rsid w:val="001C79FA"/>
    <w:rsid w:val="001C7B03"/>
    <w:rsid w:val="001C7E26"/>
    <w:rsid w:val="001D0145"/>
    <w:rsid w:val="001E48FB"/>
    <w:rsid w:val="001E693D"/>
    <w:rsid w:val="001F03FD"/>
    <w:rsid w:val="001F3A40"/>
    <w:rsid w:val="001F4038"/>
    <w:rsid w:val="001F51F9"/>
    <w:rsid w:val="001F5614"/>
    <w:rsid w:val="001F5A2F"/>
    <w:rsid w:val="001F718D"/>
    <w:rsid w:val="001F7B87"/>
    <w:rsid w:val="001F7D8F"/>
    <w:rsid w:val="0020204E"/>
    <w:rsid w:val="0020336F"/>
    <w:rsid w:val="00205C31"/>
    <w:rsid w:val="002060FF"/>
    <w:rsid w:val="002101DA"/>
    <w:rsid w:val="002113DF"/>
    <w:rsid w:val="00224030"/>
    <w:rsid w:val="0022416E"/>
    <w:rsid w:val="002267DB"/>
    <w:rsid w:val="002346C9"/>
    <w:rsid w:val="00235403"/>
    <w:rsid w:val="00236E1A"/>
    <w:rsid w:val="002420D1"/>
    <w:rsid w:val="00242595"/>
    <w:rsid w:val="002425AC"/>
    <w:rsid w:val="002450BB"/>
    <w:rsid w:val="00246E39"/>
    <w:rsid w:val="0025212D"/>
    <w:rsid w:val="002529E2"/>
    <w:rsid w:val="002555D5"/>
    <w:rsid w:val="00257976"/>
    <w:rsid w:val="002617ED"/>
    <w:rsid w:val="002627A1"/>
    <w:rsid w:val="0026796B"/>
    <w:rsid w:val="00273320"/>
    <w:rsid w:val="00281049"/>
    <w:rsid w:val="00282E0B"/>
    <w:rsid w:val="00283ABE"/>
    <w:rsid w:val="00287F64"/>
    <w:rsid w:val="002A2285"/>
    <w:rsid w:val="002A4D83"/>
    <w:rsid w:val="002A518E"/>
    <w:rsid w:val="002B0591"/>
    <w:rsid w:val="002B262E"/>
    <w:rsid w:val="002B3803"/>
    <w:rsid w:val="002B42FA"/>
    <w:rsid w:val="002B4714"/>
    <w:rsid w:val="002C6880"/>
    <w:rsid w:val="002C6F41"/>
    <w:rsid w:val="002C7B53"/>
    <w:rsid w:val="002D1102"/>
    <w:rsid w:val="002D210B"/>
    <w:rsid w:val="002D6459"/>
    <w:rsid w:val="003008EC"/>
    <w:rsid w:val="00306598"/>
    <w:rsid w:val="00311E6C"/>
    <w:rsid w:val="00321BAA"/>
    <w:rsid w:val="0032535D"/>
    <w:rsid w:val="00325F04"/>
    <w:rsid w:val="0033007F"/>
    <w:rsid w:val="00332326"/>
    <w:rsid w:val="003339A1"/>
    <w:rsid w:val="003351DC"/>
    <w:rsid w:val="00341C65"/>
    <w:rsid w:val="00341DC1"/>
    <w:rsid w:val="00343D9A"/>
    <w:rsid w:val="003542B8"/>
    <w:rsid w:val="00355508"/>
    <w:rsid w:val="003635C7"/>
    <w:rsid w:val="00370964"/>
    <w:rsid w:val="0037124E"/>
    <w:rsid w:val="00372DA5"/>
    <w:rsid w:val="0037413C"/>
    <w:rsid w:val="00374BC1"/>
    <w:rsid w:val="00380AD4"/>
    <w:rsid w:val="00384995"/>
    <w:rsid w:val="003915C8"/>
    <w:rsid w:val="003948E4"/>
    <w:rsid w:val="003958DD"/>
    <w:rsid w:val="00395ADE"/>
    <w:rsid w:val="00396C06"/>
    <w:rsid w:val="00397E04"/>
    <w:rsid w:val="003A0711"/>
    <w:rsid w:val="003A4B61"/>
    <w:rsid w:val="003B0486"/>
    <w:rsid w:val="003B1D52"/>
    <w:rsid w:val="003B228A"/>
    <w:rsid w:val="003C02BD"/>
    <w:rsid w:val="003C313D"/>
    <w:rsid w:val="003C33D3"/>
    <w:rsid w:val="003C5765"/>
    <w:rsid w:val="003C7779"/>
    <w:rsid w:val="003D1873"/>
    <w:rsid w:val="003D1DEC"/>
    <w:rsid w:val="003D30CD"/>
    <w:rsid w:val="003E11B7"/>
    <w:rsid w:val="003E1424"/>
    <w:rsid w:val="003E2F37"/>
    <w:rsid w:val="003E7304"/>
    <w:rsid w:val="003F775D"/>
    <w:rsid w:val="00411202"/>
    <w:rsid w:val="00411B6F"/>
    <w:rsid w:val="00414A9C"/>
    <w:rsid w:val="00416893"/>
    <w:rsid w:val="00416A9B"/>
    <w:rsid w:val="004172A6"/>
    <w:rsid w:val="00420285"/>
    <w:rsid w:val="00420F7B"/>
    <w:rsid w:val="0042342C"/>
    <w:rsid w:val="0042515F"/>
    <w:rsid w:val="00425BFB"/>
    <w:rsid w:val="00433514"/>
    <w:rsid w:val="00433E15"/>
    <w:rsid w:val="00444110"/>
    <w:rsid w:val="00445311"/>
    <w:rsid w:val="00446D27"/>
    <w:rsid w:val="0045581C"/>
    <w:rsid w:val="00455CC2"/>
    <w:rsid w:val="00456514"/>
    <w:rsid w:val="00461D77"/>
    <w:rsid w:val="00462B4F"/>
    <w:rsid w:val="00463E9B"/>
    <w:rsid w:val="0046690E"/>
    <w:rsid w:val="00467263"/>
    <w:rsid w:val="004814A1"/>
    <w:rsid w:val="00491AC4"/>
    <w:rsid w:val="00493E52"/>
    <w:rsid w:val="00494255"/>
    <w:rsid w:val="00496E39"/>
    <w:rsid w:val="004A0005"/>
    <w:rsid w:val="004A15D6"/>
    <w:rsid w:val="004A5440"/>
    <w:rsid w:val="004B5E88"/>
    <w:rsid w:val="004B64E0"/>
    <w:rsid w:val="004B76A4"/>
    <w:rsid w:val="004C0B1D"/>
    <w:rsid w:val="004D046C"/>
    <w:rsid w:val="004D1ADA"/>
    <w:rsid w:val="004D294F"/>
    <w:rsid w:val="004D548A"/>
    <w:rsid w:val="004D6144"/>
    <w:rsid w:val="004D78DF"/>
    <w:rsid w:val="004E2210"/>
    <w:rsid w:val="004E36D1"/>
    <w:rsid w:val="004E521A"/>
    <w:rsid w:val="004E5505"/>
    <w:rsid w:val="004E57F5"/>
    <w:rsid w:val="004F0FCD"/>
    <w:rsid w:val="004F3773"/>
    <w:rsid w:val="004F5F33"/>
    <w:rsid w:val="0050181D"/>
    <w:rsid w:val="00501940"/>
    <w:rsid w:val="00503D33"/>
    <w:rsid w:val="00503DF8"/>
    <w:rsid w:val="00510E3C"/>
    <w:rsid w:val="00511408"/>
    <w:rsid w:val="005114AB"/>
    <w:rsid w:val="005114B1"/>
    <w:rsid w:val="005146F1"/>
    <w:rsid w:val="00520405"/>
    <w:rsid w:val="005270F9"/>
    <w:rsid w:val="005274B8"/>
    <w:rsid w:val="00533E38"/>
    <w:rsid w:val="0053457B"/>
    <w:rsid w:val="00536801"/>
    <w:rsid w:val="00536E42"/>
    <w:rsid w:val="00541E12"/>
    <w:rsid w:val="00542F9C"/>
    <w:rsid w:val="00547599"/>
    <w:rsid w:val="005505EA"/>
    <w:rsid w:val="00551277"/>
    <w:rsid w:val="00555C3C"/>
    <w:rsid w:val="00560891"/>
    <w:rsid w:val="00562CBC"/>
    <w:rsid w:val="005673FA"/>
    <w:rsid w:val="005718E4"/>
    <w:rsid w:val="00575709"/>
    <w:rsid w:val="00575F76"/>
    <w:rsid w:val="00576048"/>
    <w:rsid w:val="00577776"/>
    <w:rsid w:val="005778DD"/>
    <w:rsid w:val="00582629"/>
    <w:rsid w:val="00584431"/>
    <w:rsid w:val="00592238"/>
    <w:rsid w:val="005A2F7C"/>
    <w:rsid w:val="005A3A38"/>
    <w:rsid w:val="005A46AC"/>
    <w:rsid w:val="005A55B4"/>
    <w:rsid w:val="005B201E"/>
    <w:rsid w:val="005B6C63"/>
    <w:rsid w:val="005C0995"/>
    <w:rsid w:val="005C530C"/>
    <w:rsid w:val="005C590C"/>
    <w:rsid w:val="005D13C3"/>
    <w:rsid w:val="005D7EAA"/>
    <w:rsid w:val="005E0A22"/>
    <w:rsid w:val="005E0CBD"/>
    <w:rsid w:val="005E3C8F"/>
    <w:rsid w:val="005E45B8"/>
    <w:rsid w:val="005E57FA"/>
    <w:rsid w:val="005E6D4E"/>
    <w:rsid w:val="005F2C83"/>
    <w:rsid w:val="0060029C"/>
    <w:rsid w:val="0060457F"/>
    <w:rsid w:val="0060777E"/>
    <w:rsid w:val="00611AE3"/>
    <w:rsid w:val="00616B7F"/>
    <w:rsid w:val="006271F2"/>
    <w:rsid w:val="00627553"/>
    <w:rsid w:val="00632234"/>
    <w:rsid w:val="0063578B"/>
    <w:rsid w:val="00640858"/>
    <w:rsid w:val="00641530"/>
    <w:rsid w:val="00641E3B"/>
    <w:rsid w:val="00642092"/>
    <w:rsid w:val="00654EA0"/>
    <w:rsid w:val="0065516F"/>
    <w:rsid w:val="00662E13"/>
    <w:rsid w:val="00672CD1"/>
    <w:rsid w:val="0067637F"/>
    <w:rsid w:val="006810BE"/>
    <w:rsid w:val="00681CE5"/>
    <w:rsid w:val="00685A59"/>
    <w:rsid w:val="00694A50"/>
    <w:rsid w:val="00695846"/>
    <w:rsid w:val="0069739B"/>
    <w:rsid w:val="00697B1D"/>
    <w:rsid w:val="006A0479"/>
    <w:rsid w:val="006A1047"/>
    <w:rsid w:val="006A169B"/>
    <w:rsid w:val="006A554C"/>
    <w:rsid w:val="006A5581"/>
    <w:rsid w:val="006A7B39"/>
    <w:rsid w:val="006B104F"/>
    <w:rsid w:val="006C086F"/>
    <w:rsid w:val="006C396D"/>
    <w:rsid w:val="006D2EE8"/>
    <w:rsid w:val="006D3DB8"/>
    <w:rsid w:val="006D67B8"/>
    <w:rsid w:val="006D7EFE"/>
    <w:rsid w:val="006E02E0"/>
    <w:rsid w:val="006E0655"/>
    <w:rsid w:val="006F6C71"/>
    <w:rsid w:val="006F755E"/>
    <w:rsid w:val="007024CC"/>
    <w:rsid w:val="00704F25"/>
    <w:rsid w:val="00712596"/>
    <w:rsid w:val="00714826"/>
    <w:rsid w:val="00716B5D"/>
    <w:rsid w:val="00723FAF"/>
    <w:rsid w:val="00730060"/>
    <w:rsid w:val="00736080"/>
    <w:rsid w:val="0074017A"/>
    <w:rsid w:val="00745BD7"/>
    <w:rsid w:val="00753F5A"/>
    <w:rsid w:val="00756AFA"/>
    <w:rsid w:val="007575C7"/>
    <w:rsid w:val="00760B1F"/>
    <w:rsid w:val="0077102B"/>
    <w:rsid w:val="007729DF"/>
    <w:rsid w:val="0077677C"/>
    <w:rsid w:val="00782FBC"/>
    <w:rsid w:val="00783770"/>
    <w:rsid w:val="00783DC8"/>
    <w:rsid w:val="00786B13"/>
    <w:rsid w:val="007878E0"/>
    <w:rsid w:val="00790C2B"/>
    <w:rsid w:val="0079773E"/>
    <w:rsid w:val="007A3A59"/>
    <w:rsid w:val="007A45D0"/>
    <w:rsid w:val="007A4C6E"/>
    <w:rsid w:val="007A7144"/>
    <w:rsid w:val="007B00B1"/>
    <w:rsid w:val="007B4DE7"/>
    <w:rsid w:val="007B64ED"/>
    <w:rsid w:val="007B7943"/>
    <w:rsid w:val="007C1C00"/>
    <w:rsid w:val="007C29AE"/>
    <w:rsid w:val="007C458F"/>
    <w:rsid w:val="007C5984"/>
    <w:rsid w:val="007C7115"/>
    <w:rsid w:val="007D36CB"/>
    <w:rsid w:val="007D38EF"/>
    <w:rsid w:val="007D6524"/>
    <w:rsid w:val="007E23AC"/>
    <w:rsid w:val="007E25F4"/>
    <w:rsid w:val="007E34B7"/>
    <w:rsid w:val="007E6D8D"/>
    <w:rsid w:val="007F2092"/>
    <w:rsid w:val="007F4DB0"/>
    <w:rsid w:val="00801195"/>
    <w:rsid w:val="00804229"/>
    <w:rsid w:val="00814D90"/>
    <w:rsid w:val="00821D5D"/>
    <w:rsid w:val="0083078A"/>
    <w:rsid w:val="00831BD7"/>
    <w:rsid w:val="0083699F"/>
    <w:rsid w:val="008426D7"/>
    <w:rsid w:val="00842C4A"/>
    <w:rsid w:val="008435B1"/>
    <w:rsid w:val="008437E8"/>
    <w:rsid w:val="00845729"/>
    <w:rsid w:val="0085184C"/>
    <w:rsid w:val="00851A64"/>
    <w:rsid w:val="00853173"/>
    <w:rsid w:val="0085399A"/>
    <w:rsid w:val="0085697B"/>
    <w:rsid w:val="00862F09"/>
    <w:rsid w:val="00874BB4"/>
    <w:rsid w:val="00875C04"/>
    <w:rsid w:val="00875D5F"/>
    <w:rsid w:val="00876C89"/>
    <w:rsid w:val="00880A0B"/>
    <w:rsid w:val="00885834"/>
    <w:rsid w:val="00886EAA"/>
    <w:rsid w:val="00894784"/>
    <w:rsid w:val="008A5838"/>
    <w:rsid w:val="008A6936"/>
    <w:rsid w:val="008A7DAD"/>
    <w:rsid w:val="008A7F3D"/>
    <w:rsid w:val="008B0C71"/>
    <w:rsid w:val="008B3502"/>
    <w:rsid w:val="008B3737"/>
    <w:rsid w:val="008B69E7"/>
    <w:rsid w:val="008C0236"/>
    <w:rsid w:val="008C025E"/>
    <w:rsid w:val="008C05AA"/>
    <w:rsid w:val="008C0CC4"/>
    <w:rsid w:val="008C47F1"/>
    <w:rsid w:val="008C6727"/>
    <w:rsid w:val="008D1FAF"/>
    <w:rsid w:val="008D24A5"/>
    <w:rsid w:val="008D6DFB"/>
    <w:rsid w:val="008D70A7"/>
    <w:rsid w:val="008D7308"/>
    <w:rsid w:val="008E2982"/>
    <w:rsid w:val="008E715E"/>
    <w:rsid w:val="008F0420"/>
    <w:rsid w:val="008F35E3"/>
    <w:rsid w:val="008F4D85"/>
    <w:rsid w:val="00903327"/>
    <w:rsid w:val="00905AD3"/>
    <w:rsid w:val="009079FE"/>
    <w:rsid w:val="009121B6"/>
    <w:rsid w:val="009148AA"/>
    <w:rsid w:val="009150AD"/>
    <w:rsid w:val="00924D7E"/>
    <w:rsid w:val="00931D22"/>
    <w:rsid w:val="00932287"/>
    <w:rsid w:val="00940237"/>
    <w:rsid w:val="00944151"/>
    <w:rsid w:val="00945F13"/>
    <w:rsid w:val="0094689D"/>
    <w:rsid w:val="00947DD6"/>
    <w:rsid w:val="00952610"/>
    <w:rsid w:val="0095332C"/>
    <w:rsid w:val="00953E26"/>
    <w:rsid w:val="009541DC"/>
    <w:rsid w:val="00955746"/>
    <w:rsid w:val="00963264"/>
    <w:rsid w:val="0096402A"/>
    <w:rsid w:val="0096542C"/>
    <w:rsid w:val="00966E62"/>
    <w:rsid w:val="009744DF"/>
    <w:rsid w:val="009807F3"/>
    <w:rsid w:val="00985253"/>
    <w:rsid w:val="00985871"/>
    <w:rsid w:val="0099176F"/>
    <w:rsid w:val="00995236"/>
    <w:rsid w:val="0099567C"/>
    <w:rsid w:val="009A2A0D"/>
    <w:rsid w:val="009A56DE"/>
    <w:rsid w:val="009A5DB4"/>
    <w:rsid w:val="009B2196"/>
    <w:rsid w:val="009C138F"/>
    <w:rsid w:val="009C1BAC"/>
    <w:rsid w:val="009C3151"/>
    <w:rsid w:val="009C39A0"/>
    <w:rsid w:val="009C3F70"/>
    <w:rsid w:val="009C5513"/>
    <w:rsid w:val="009C7266"/>
    <w:rsid w:val="009D2AE9"/>
    <w:rsid w:val="009D2F8F"/>
    <w:rsid w:val="009D3D0C"/>
    <w:rsid w:val="009D7227"/>
    <w:rsid w:val="009E04EA"/>
    <w:rsid w:val="009E6523"/>
    <w:rsid w:val="009F1B13"/>
    <w:rsid w:val="009F3171"/>
    <w:rsid w:val="009F6619"/>
    <w:rsid w:val="009F6D68"/>
    <w:rsid w:val="009F7771"/>
    <w:rsid w:val="00A042FC"/>
    <w:rsid w:val="00A21960"/>
    <w:rsid w:val="00A26370"/>
    <w:rsid w:val="00A3122F"/>
    <w:rsid w:val="00A32062"/>
    <w:rsid w:val="00A32FEB"/>
    <w:rsid w:val="00A34894"/>
    <w:rsid w:val="00A40044"/>
    <w:rsid w:val="00A42A7A"/>
    <w:rsid w:val="00A45EC5"/>
    <w:rsid w:val="00A542AD"/>
    <w:rsid w:val="00A5728B"/>
    <w:rsid w:val="00A625F5"/>
    <w:rsid w:val="00A646F8"/>
    <w:rsid w:val="00A649F2"/>
    <w:rsid w:val="00A668BC"/>
    <w:rsid w:val="00A674A2"/>
    <w:rsid w:val="00A72FFF"/>
    <w:rsid w:val="00A76322"/>
    <w:rsid w:val="00A772F9"/>
    <w:rsid w:val="00A816C7"/>
    <w:rsid w:val="00A833B7"/>
    <w:rsid w:val="00A90AE8"/>
    <w:rsid w:val="00A952EE"/>
    <w:rsid w:val="00A96C54"/>
    <w:rsid w:val="00AA583F"/>
    <w:rsid w:val="00AA6BD0"/>
    <w:rsid w:val="00AA7330"/>
    <w:rsid w:val="00AA7E53"/>
    <w:rsid w:val="00AA7ED4"/>
    <w:rsid w:val="00AB38BD"/>
    <w:rsid w:val="00AB3AF6"/>
    <w:rsid w:val="00AB7622"/>
    <w:rsid w:val="00AC5AB6"/>
    <w:rsid w:val="00AD08F2"/>
    <w:rsid w:val="00AD3C16"/>
    <w:rsid w:val="00AD435F"/>
    <w:rsid w:val="00AD6FAC"/>
    <w:rsid w:val="00AF2B39"/>
    <w:rsid w:val="00B03954"/>
    <w:rsid w:val="00B05420"/>
    <w:rsid w:val="00B06582"/>
    <w:rsid w:val="00B068EA"/>
    <w:rsid w:val="00B077B1"/>
    <w:rsid w:val="00B139C6"/>
    <w:rsid w:val="00B2238A"/>
    <w:rsid w:val="00B3488C"/>
    <w:rsid w:val="00B35892"/>
    <w:rsid w:val="00B40BE2"/>
    <w:rsid w:val="00B4109A"/>
    <w:rsid w:val="00B52F53"/>
    <w:rsid w:val="00B57959"/>
    <w:rsid w:val="00B57F1F"/>
    <w:rsid w:val="00B61C02"/>
    <w:rsid w:val="00B61D60"/>
    <w:rsid w:val="00B62DF0"/>
    <w:rsid w:val="00B67A4B"/>
    <w:rsid w:val="00B70039"/>
    <w:rsid w:val="00B73C3D"/>
    <w:rsid w:val="00B80CEA"/>
    <w:rsid w:val="00B840DB"/>
    <w:rsid w:val="00B852D4"/>
    <w:rsid w:val="00B8649F"/>
    <w:rsid w:val="00B93D71"/>
    <w:rsid w:val="00B94375"/>
    <w:rsid w:val="00B94C0C"/>
    <w:rsid w:val="00BA21A3"/>
    <w:rsid w:val="00BA62D3"/>
    <w:rsid w:val="00BA6345"/>
    <w:rsid w:val="00BB0A92"/>
    <w:rsid w:val="00BB1F93"/>
    <w:rsid w:val="00BB28C0"/>
    <w:rsid w:val="00BB4492"/>
    <w:rsid w:val="00BB47D0"/>
    <w:rsid w:val="00BC05F1"/>
    <w:rsid w:val="00BC3F5B"/>
    <w:rsid w:val="00BC40A8"/>
    <w:rsid w:val="00BD0F25"/>
    <w:rsid w:val="00BD5EED"/>
    <w:rsid w:val="00BD79E7"/>
    <w:rsid w:val="00BE232C"/>
    <w:rsid w:val="00BE33B7"/>
    <w:rsid w:val="00BE4044"/>
    <w:rsid w:val="00BE4F5F"/>
    <w:rsid w:val="00BF6B52"/>
    <w:rsid w:val="00BF7844"/>
    <w:rsid w:val="00C012DD"/>
    <w:rsid w:val="00C1170A"/>
    <w:rsid w:val="00C13132"/>
    <w:rsid w:val="00C15E77"/>
    <w:rsid w:val="00C16632"/>
    <w:rsid w:val="00C30CE9"/>
    <w:rsid w:val="00C31A38"/>
    <w:rsid w:val="00C40A38"/>
    <w:rsid w:val="00C418D4"/>
    <w:rsid w:val="00C43375"/>
    <w:rsid w:val="00C4522D"/>
    <w:rsid w:val="00C50520"/>
    <w:rsid w:val="00C543E9"/>
    <w:rsid w:val="00C5536A"/>
    <w:rsid w:val="00C61ED0"/>
    <w:rsid w:val="00C65018"/>
    <w:rsid w:val="00C65DD0"/>
    <w:rsid w:val="00C678F4"/>
    <w:rsid w:val="00C800AB"/>
    <w:rsid w:val="00C80ED4"/>
    <w:rsid w:val="00C93686"/>
    <w:rsid w:val="00C95F80"/>
    <w:rsid w:val="00CA1B38"/>
    <w:rsid w:val="00CA7D96"/>
    <w:rsid w:val="00CB2ED6"/>
    <w:rsid w:val="00CB575A"/>
    <w:rsid w:val="00CC22FA"/>
    <w:rsid w:val="00CC6F87"/>
    <w:rsid w:val="00CD2A14"/>
    <w:rsid w:val="00CD30BF"/>
    <w:rsid w:val="00CD4860"/>
    <w:rsid w:val="00CD56BE"/>
    <w:rsid w:val="00CD7ECD"/>
    <w:rsid w:val="00CE0ABD"/>
    <w:rsid w:val="00CE3D68"/>
    <w:rsid w:val="00CF24C3"/>
    <w:rsid w:val="00CF29DB"/>
    <w:rsid w:val="00D03AD0"/>
    <w:rsid w:val="00D13ADD"/>
    <w:rsid w:val="00D16075"/>
    <w:rsid w:val="00D1782A"/>
    <w:rsid w:val="00D205C9"/>
    <w:rsid w:val="00D2795A"/>
    <w:rsid w:val="00D31B35"/>
    <w:rsid w:val="00D33F6C"/>
    <w:rsid w:val="00D36917"/>
    <w:rsid w:val="00D3777B"/>
    <w:rsid w:val="00D40B6E"/>
    <w:rsid w:val="00D516B1"/>
    <w:rsid w:val="00D63514"/>
    <w:rsid w:val="00D638C0"/>
    <w:rsid w:val="00D737A8"/>
    <w:rsid w:val="00D753C6"/>
    <w:rsid w:val="00D80C66"/>
    <w:rsid w:val="00D85946"/>
    <w:rsid w:val="00DA20C9"/>
    <w:rsid w:val="00DA267C"/>
    <w:rsid w:val="00DA4F8B"/>
    <w:rsid w:val="00DB43B4"/>
    <w:rsid w:val="00DB50E4"/>
    <w:rsid w:val="00DC0076"/>
    <w:rsid w:val="00DC6790"/>
    <w:rsid w:val="00DD17E3"/>
    <w:rsid w:val="00DD5B7B"/>
    <w:rsid w:val="00DE2BF8"/>
    <w:rsid w:val="00DE5432"/>
    <w:rsid w:val="00DE5611"/>
    <w:rsid w:val="00E0095B"/>
    <w:rsid w:val="00E024A0"/>
    <w:rsid w:val="00E02AD1"/>
    <w:rsid w:val="00E04871"/>
    <w:rsid w:val="00E105BC"/>
    <w:rsid w:val="00E20D24"/>
    <w:rsid w:val="00E21526"/>
    <w:rsid w:val="00E26672"/>
    <w:rsid w:val="00E279FE"/>
    <w:rsid w:val="00E27A3D"/>
    <w:rsid w:val="00E31159"/>
    <w:rsid w:val="00E352A1"/>
    <w:rsid w:val="00E379E5"/>
    <w:rsid w:val="00E41E81"/>
    <w:rsid w:val="00E44EF0"/>
    <w:rsid w:val="00E6581C"/>
    <w:rsid w:val="00E67CE9"/>
    <w:rsid w:val="00E72E15"/>
    <w:rsid w:val="00E7335D"/>
    <w:rsid w:val="00E745E1"/>
    <w:rsid w:val="00E76994"/>
    <w:rsid w:val="00E80695"/>
    <w:rsid w:val="00E8136A"/>
    <w:rsid w:val="00E8369E"/>
    <w:rsid w:val="00E9041A"/>
    <w:rsid w:val="00E93C83"/>
    <w:rsid w:val="00E97D82"/>
    <w:rsid w:val="00EA0D3D"/>
    <w:rsid w:val="00EB0C5B"/>
    <w:rsid w:val="00EB1685"/>
    <w:rsid w:val="00EB1B35"/>
    <w:rsid w:val="00EC14FE"/>
    <w:rsid w:val="00EC3B13"/>
    <w:rsid w:val="00EC42E0"/>
    <w:rsid w:val="00EC6364"/>
    <w:rsid w:val="00EC76D0"/>
    <w:rsid w:val="00ED0472"/>
    <w:rsid w:val="00ED4A6A"/>
    <w:rsid w:val="00ED4F0B"/>
    <w:rsid w:val="00EE076C"/>
    <w:rsid w:val="00EE28E1"/>
    <w:rsid w:val="00EE48FF"/>
    <w:rsid w:val="00EE7C0C"/>
    <w:rsid w:val="00EF5657"/>
    <w:rsid w:val="00EF61BA"/>
    <w:rsid w:val="00F021B1"/>
    <w:rsid w:val="00F05220"/>
    <w:rsid w:val="00F101F1"/>
    <w:rsid w:val="00F156CE"/>
    <w:rsid w:val="00F2188F"/>
    <w:rsid w:val="00F22C8A"/>
    <w:rsid w:val="00F260F6"/>
    <w:rsid w:val="00F26A7F"/>
    <w:rsid w:val="00F274C4"/>
    <w:rsid w:val="00F2764B"/>
    <w:rsid w:val="00F27AF5"/>
    <w:rsid w:val="00F32D2B"/>
    <w:rsid w:val="00F34109"/>
    <w:rsid w:val="00F46D64"/>
    <w:rsid w:val="00F513C9"/>
    <w:rsid w:val="00F51786"/>
    <w:rsid w:val="00F54FC1"/>
    <w:rsid w:val="00F56188"/>
    <w:rsid w:val="00F574EE"/>
    <w:rsid w:val="00F6017D"/>
    <w:rsid w:val="00F63F18"/>
    <w:rsid w:val="00F643C6"/>
    <w:rsid w:val="00F66749"/>
    <w:rsid w:val="00F73709"/>
    <w:rsid w:val="00F7580F"/>
    <w:rsid w:val="00F75F5C"/>
    <w:rsid w:val="00F90A1A"/>
    <w:rsid w:val="00F90F56"/>
    <w:rsid w:val="00F92E6E"/>
    <w:rsid w:val="00F92F1F"/>
    <w:rsid w:val="00F94CD0"/>
    <w:rsid w:val="00FA4EA5"/>
    <w:rsid w:val="00FA4EE2"/>
    <w:rsid w:val="00FA70D2"/>
    <w:rsid w:val="00FB0CFB"/>
    <w:rsid w:val="00FB191B"/>
    <w:rsid w:val="00FB3B9D"/>
    <w:rsid w:val="00FC24B3"/>
    <w:rsid w:val="00FC266D"/>
    <w:rsid w:val="00FC3239"/>
    <w:rsid w:val="00FC51B0"/>
    <w:rsid w:val="00FC7D60"/>
    <w:rsid w:val="00FD012F"/>
    <w:rsid w:val="00FD2FC5"/>
    <w:rsid w:val="00FD55B2"/>
    <w:rsid w:val="00FE0B1A"/>
    <w:rsid w:val="00FE3074"/>
    <w:rsid w:val="00FE5264"/>
    <w:rsid w:val="00FE5A63"/>
    <w:rsid w:val="00FE783F"/>
    <w:rsid w:val="00FF6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8A9F605F-3FEA-4642-898E-1EC49B47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502"/>
    <w:pPr>
      <w:spacing w:after="0" w:line="240" w:lineRule="auto"/>
    </w:pPr>
    <w:rPr>
      <w:rFonts w:ascii="Aerial" w:hAnsi="Ae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No Spacing1,List Paragraph Char Char Char,Indicator Text,Numbered Para 1,Bullet 1,F5 List Paragraph,Bullet Points,MAIN CONTENT,List Paragraph12,Bullet Style,Colorful List - Accent 11,Normal numbered,List Paragraph2,List Paragraph11"/>
    <w:basedOn w:val="Normal"/>
    <w:link w:val="ListParagraphChar"/>
    <w:uiPriority w:val="34"/>
    <w:qFormat/>
    <w:rsid w:val="008B3502"/>
    <w:pPr>
      <w:ind w:left="720"/>
      <w:contextualSpacing/>
    </w:pPr>
  </w:style>
  <w:style w:type="paragraph" w:customStyle="1" w:styleId="Default">
    <w:name w:val="Default"/>
    <w:rsid w:val="008B3502"/>
    <w:pPr>
      <w:autoSpaceDE w:val="0"/>
      <w:autoSpaceDN w:val="0"/>
      <w:adjustRightInd w:val="0"/>
      <w:spacing w:after="0" w:line="240" w:lineRule="auto"/>
    </w:pPr>
    <w:rPr>
      <w:rFonts w:ascii="Arial" w:hAnsi="Arial" w:cs="Arial"/>
      <w:color w:val="000000"/>
      <w:sz w:val="24"/>
      <w:szCs w:val="24"/>
    </w:rPr>
  </w:style>
  <w:style w:type="character" w:styleId="Hyperlink">
    <w:name w:val="Hyperlink"/>
    <w:uiPriority w:val="99"/>
    <w:unhideWhenUsed/>
    <w:rsid w:val="008B3502"/>
    <w:rPr>
      <w:color w:val="0000FF"/>
      <w:u w:val="single"/>
    </w:rPr>
  </w:style>
  <w:style w:type="table" w:styleId="TableGrid">
    <w:name w:val="Table Grid"/>
    <w:basedOn w:val="TableNormal"/>
    <w:rsid w:val="008D7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085F2B"/>
    <w:pPr>
      <w:tabs>
        <w:tab w:val="center" w:pos="4513"/>
        <w:tab w:val="right" w:pos="9026"/>
      </w:tabs>
    </w:pPr>
  </w:style>
  <w:style w:type="character" w:customStyle="1" w:styleId="HeaderChar">
    <w:name w:val="Header Char"/>
    <w:basedOn w:val="DefaultParagraphFont"/>
    <w:link w:val="Header"/>
    <w:uiPriority w:val="99"/>
    <w:rsid w:val="00085F2B"/>
    <w:rPr>
      <w:rFonts w:ascii="Aerial" w:hAnsi="Aerial"/>
      <w:sz w:val="24"/>
    </w:rPr>
  </w:style>
  <w:style w:type="paragraph" w:styleId="Footer">
    <w:name w:val="footer"/>
    <w:basedOn w:val="Normal"/>
    <w:link w:val="FooterChar"/>
    <w:uiPriority w:val="99"/>
    <w:unhideWhenUsed/>
    <w:rsid w:val="00085F2B"/>
    <w:pPr>
      <w:tabs>
        <w:tab w:val="center" w:pos="4513"/>
        <w:tab w:val="right" w:pos="9026"/>
      </w:tabs>
    </w:pPr>
  </w:style>
  <w:style w:type="character" w:customStyle="1" w:styleId="FooterChar">
    <w:name w:val="Footer Char"/>
    <w:basedOn w:val="DefaultParagraphFont"/>
    <w:link w:val="Footer"/>
    <w:uiPriority w:val="99"/>
    <w:rsid w:val="00085F2B"/>
    <w:rPr>
      <w:rFonts w:ascii="Aerial" w:hAnsi="Aerial"/>
      <w:sz w:val="24"/>
    </w:rPr>
  </w:style>
  <w:style w:type="paragraph" w:styleId="BalloonText">
    <w:name w:val="Balloon Text"/>
    <w:basedOn w:val="Normal"/>
    <w:link w:val="BalloonTextChar"/>
    <w:semiHidden/>
    <w:unhideWhenUsed/>
    <w:rsid w:val="00B73C3D"/>
    <w:rPr>
      <w:rFonts w:ascii="Tahoma" w:hAnsi="Tahoma" w:cs="Tahoma"/>
      <w:sz w:val="16"/>
      <w:szCs w:val="16"/>
    </w:rPr>
  </w:style>
  <w:style w:type="character" w:customStyle="1" w:styleId="BalloonTextChar">
    <w:name w:val="Balloon Text Char"/>
    <w:basedOn w:val="DefaultParagraphFont"/>
    <w:link w:val="BalloonText"/>
    <w:uiPriority w:val="99"/>
    <w:semiHidden/>
    <w:rsid w:val="00B73C3D"/>
    <w:rPr>
      <w:rFonts w:ascii="Tahoma" w:hAnsi="Tahoma" w:cs="Tahoma"/>
      <w:sz w:val="16"/>
      <w:szCs w:val="16"/>
    </w:rPr>
  </w:style>
  <w:style w:type="character" w:styleId="PageNumber">
    <w:name w:val="page number"/>
    <w:basedOn w:val="DefaultParagraphFont"/>
    <w:rsid w:val="00641E3B"/>
  </w:style>
  <w:style w:type="paragraph" w:styleId="NormalWeb">
    <w:name w:val="Normal (Web)"/>
    <w:basedOn w:val="Normal"/>
    <w:uiPriority w:val="99"/>
    <w:unhideWhenUsed/>
    <w:rsid w:val="00641E3B"/>
    <w:rPr>
      <w:rFonts w:ascii="Times New Roman" w:eastAsia="Calibri" w:hAnsi="Times New Roman" w:cs="Times New Roman"/>
      <w:szCs w:val="24"/>
      <w:lang w:eastAsia="en-GB"/>
    </w:rPr>
  </w:style>
  <w:style w:type="paragraph" w:styleId="Title">
    <w:name w:val="Title"/>
    <w:basedOn w:val="Normal"/>
    <w:link w:val="TitleChar"/>
    <w:qFormat/>
    <w:rsid w:val="00641E3B"/>
    <w:pPr>
      <w:widowControl w:val="0"/>
      <w:jc w:val="center"/>
      <w:outlineLvl w:val="0"/>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641E3B"/>
    <w:rPr>
      <w:rFonts w:ascii="Times New Roman" w:eastAsia="Times New Roman" w:hAnsi="Times New Roman" w:cs="Times New Roman"/>
      <w:sz w:val="28"/>
      <w:szCs w:val="20"/>
    </w:rPr>
  </w:style>
  <w:style w:type="paragraph" w:styleId="BodyText">
    <w:name w:val="Body Text"/>
    <w:basedOn w:val="Normal"/>
    <w:link w:val="BodyTextChar"/>
    <w:rsid w:val="00562CBC"/>
    <w:pPr>
      <w:tabs>
        <w:tab w:val="left" w:pos="-720"/>
        <w:tab w:val="left" w:pos="0"/>
      </w:tabs>
      <w:suppressAutoHyphens/>
    </w:pPr>
    <w:rPr>
      <w:rFonts w:ascii="Arial" w:eastAsia="Times New Roman" w:hAnsi="Arial" w:cs="Times New Roman"/>
      <w:spacing w:val="-3"/>
      <w:sz w:val="26"/>
      <w:szCs w:val="20"/>
      <w:lang w:eastAsia="en-GB"/>
    </w:rPr>
  </w:style>
  <w:style w:type="character" w:customStyle="1" w:styleId="BodyTextChar">
    <w:name w:val="Body Text Char"/>
    <w:basedOn w:val="DefaultParagraphFont"/>
    <w:link w:val="BodyText"/>
    <w:rsid w:val="00562CBC"/>
    <w:rPr>
      <w:rFonts w:ascii="Arial" w:eastAsia="Times New Roman" w:hAnsi="Arial" w:cs="Times New Roman"/>
      <w:spacing w:val="-3"/>
      <w:sz w:val="26"/>
      <w:szCs w:val="20"/>
      <w:lang w:eastAsia="en-GB"/>
    </w:rPr>
  </w:style>
  <w:style w:type="paragraph" w:customStyle="1" w:styleId="DfESBullets">
    <w:name w:val="DfESBullets"/>
    <w:basedOn w:val="Normal"/>
    <w:rsid w:val="00B93D71"/>
    <w:pPr>
      <w:widowControl w:val="0"/>
      <w:numPr>
        <w:numId w:val="2"/>
      </w:numPr>
      <w:overflowPunct w:val="0"/>
      <w:autoSpaceDE w:val="0"/>
      <w:autoSpaceDN w:val="0"/>
      <w:adjustRightInd w:val="0"/>
      <w:spacing w:after="240"/>
      <w:textAlignment w:val="baseline"/>
    </w:pPr>
    <w:rPr>
      <w:rFonts w:ascii="Arial" w:eastAsia="Times New Roman" w:hAnsi="Arial" w:cs="Times New Roman"/>
      <w:szCs w:val="20"/>
    </w:rPr>
  </w:style>
  <w:style w:type="paragraph" w:styleId="BodyText2">
    <w:name w:val="Body Text 2"/>
    <w:basedOn w:val="Normal"/>
    <w:link w:val="BodyText2Char"/>
    <w:uiPriority w:val="99"/>
    <w:unhideWhenUsed/>
    <w:rsid w:val="00B93D71"/>
    <w:pPr>
      <w:spacing w:after="120" w:line="480" w:lineRule="auto"/>
    </w:pPr>
  </w:style>
  <w:style w:type="character" w:customStyle="1" w:styleId="BodyText2Char">
    <w:name w:val="Body Text 2 Char"/>
    <w:basedOn w:val="DefaultParagraphFont"/>
    <w:link w:val="BodyText2"/>
    <w:uiPriority w:val="99"/>
    <w:rsid w:val="00B93D71"/>
    <w:rPr>
      <w:rFonts w:ascii="Aerial" w:hAnsi="Aerial"/>
      <w:sz w:val="24"/>
    </w:rPr>
  </w:style>
  <w:style w:type="character" w:customStyle="1" w:styleId="HeadedpaperD2">
    <w:name w:val="Headed paper (D 2)"/>
    <w:rsid w:val="007575C7"/>
    <w:rPr>
      <w:rFonts w:ascii="Courier New" w:hAnsi="Courier New"/>
      <w:noProof w:val="0"/>
      <w:sz w:val="24"/>
      <w:lang w:val="en-US"/>
    </w:rPr>
  </w:style>
  <w:style w:type="paragraph" w:customStyle="1" w:styleId="nhangindent">
    <w:name w:val="n.hang indent"/>
    <w:basedOn w:val="Normal"/>
    <w:rsid w:val="006A5581"/>
    <w:pPr>
      <w:widowControl w:val="0"/>
      <w:tabs>
        <w:tab w:val="left" w:pos="567"/>
        <w:tab w:val="left" w:pos="1134"/>
      </w:tabs>
      <w:spacing w:before="1" w:after="171"/>
      <w:ind w:right="1"/>
      <w:jc w:val="both"/>
    </w:pPr>
    <w:rPr>
      <w:rFonts w:ascii="Times New Roman" w:eastAsia="Times New Roman" w:hAnsi="Times New Roman" w:cs="Times New Roman"/>
      <w:snapToGrid w:val="0"/>
      <w:szCs w:val="20"/>
    </w:rPr>
  </w:style>
  <w:style w:type="character" w:styleId="BookTitle">
    <w:name w:val="Book Title"/>
    <w:basedOn w:val="DefaultParagraphFont"/>
    <w:uiPriority w:val="33"/>
    <w:qFormat/>
    <w:rsid w:val="00E7335D"/>
    <w:rPr>
      <w:b/>
      <w:bCs/>
      <w:i/>
      <w:iCs/>
      <w:spacing w:val="5"/>
    </w:rPr>
  </w:style>
  <w:style w:type="table" w:customStyle="1" w:styleId="TableGrid1">
    <w:name w:val="Table Grid1"/>
    <w:basedOn w:val="TableNormal"/>
    <w:next w:val="TableGrid"/>
    <w:uiPriority w:val="39"/>
    <w:rsid w:val="008B3737"/>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Bullet 1 Char,F5 List Paragraph Char,Bullet Points Char,MAIN CONTENT Char,List Paragraph12 Char,Bullet Style Char"/>
    <w:link w:val="ListParagraph"/>
    <w:uiPriority w:val="34"/>
    <w:qFormat/>
    <w:rsid w:val="001406CC"/>
    <w:rPr>
      <w:rFonts w:ascii="Aerial" w:hAnsi="Ae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9648">
      <w:bodyDiv w:val="1"/>
      <w:marLeft w:val="0"/>
      <w:marRight w:val="0"/>
      <w:marTop w:val="0"/>
      <w:marBottom w:val="0"/>
      <w:divBdr>
        <w:top w:val="none" w:sz="0" w:space="0" w:color="auto"/>
        <w:left w:val="none" w:sz="0" w:space="0" w:color="auto"/>
        <w:bottom w:val="none" w:sz="0" w:space="0" w:color="auto"/>
        <w:right w:val="none" w:sz="0" w:space="0" w:color="auto"/>
      </w:divBdr>
    </w:div>
    <w:div w:id="160124043">
      <w:bodyDiv w:val="1"/>
      <w:marLeft w:val="0"/>
      <w:marRight w:val="0"/>
      <w:marTop w:val="0"/>
      <w:marBottom w:val="0"/>
      <w:divBdr>
        <w:top w:val="none" w:sz="0" w:space="0" w:color="auto"/>
        <w:left w:val="none" w:sz="0" w:space="0" w:color="auto"/>
        <w:bottom w:val="none" w:sz="0" w:space="0" w:color="auto"/>
        <w:right w:val="none" w:sz="0" w:space="0" w:color="auto"/>
      </w:divBdr>
    </w:div>
    <w:div w:id="195120720">
      <w:bodyDiv w:val="1"/>
      <w:marLeft w:val="0"/>
      <w:marRight w:val="0"/>
      <w:marTop w:val="0"/>
      <w:marBottom w:val="0"/>
      <w:divBdr>
        <w:top w:val="none" w:sz="0" w:space="0" w:color="auto"/>
        <w:left w:val="none" w:sz="0" w:space="0" w:color="auto"/>
        <w:bottom w:val="none" w:sz="0" w:space="0" w:color="auto"/>
        <w:right w:val="none" w:sz="0" w:space="0" w:color="auto"/>
      </w:divBdr>
    </w:div>
    <w:div w:id="218711942">
      <w:bodyDiv w:val="1"/>
      <w:marLeft w:val="0"/>
      <w:marRight w:val="0"/>
      <w:marTop w:val="0"/>
      <w:marBottom w:val="0"/>
      <w:divBdr>
        <w:top w:val="none" w:sz="0" w:space="0" w:color="auto"/>
        <w:left w:val="none" w:sz="0" w:space="0" w:color="auto"/>
        <w:bottom w:val="none" w:sz="0" w:space="0" w:color="auto"/>
        <w:right w:val="none" w:sz="0" w:space="0" w:color="auto"/>
      </w:divBdr>
    </w:div>
    <w:div w:id="221063048">
      <w:bodyDiv w:val="1"/>
      <w:marLeft w:val="0"/>
      <w:marRight w:val="0"/>
      <w:marTop w:val="0"/>
      <w:marBottom w:val="0"/>
      <w:divBdr>
        <w:top w:val="none" w:sz="0" w:space="0" w:color="auto"/>
        <w:left w:val="none" w:sz="0" w:space="0" w:color="auto"/>
        <w:bottom w:val="none" w:sz="0" w:space="0" w:color="auto"/>
        <w:right w:val="none" w:sz="0" w:space="0" w:color="auto"/>
      </w:divBdr>
    </w:div>
    <w:div w:id="251545076">
      <w:bodyDiv w:val="1"/>
      <w:marLeft w:val="0"/>
      <w:marRight w:val="0"/>
      <w:marTop w:val="0"/>
      <w:marBottom w:val="0"/>
      <w:divBdr>
        <w:top w:val="none" w:sz="0" w:space="0" w:color="auto"/>
        <w:left w:val="none" w:sz="0" w:space="0" w:color="auto"/>
        <w:bottom w:val="none" w:sz="0" w:space="0" w:color="auto"/>
        <w:right w:val="none" w:sz="0" w:space="0" w:color="auto"/>
      </w:divBdr>
    </w:div>
    <w:div w:id="306477748">
      <w:bodyDiv w:val="1"/>
      <w:marLeft w:val="0"/>
      <w:marRight w:val="0"/>
      <w:marTop w:val="0"/>
      <w:marBottom w:val="0"/>
      <w:divBdr>
        <w:top w:val="none" w:sz="0" w:space="0" w:color="auto"/>
        <w:left w:val="none" w:sz="0" w:space="0" w:color="auto"/>
        <w:bottom w:val="none" w:sz="0" w:space="0" w:color="auto"/>
        <w:right w:val="none" w:sz="0" w:space="0" w:color="auto"/>
      </w:divBdr>
    </w:div>
    <w:div w:id="405421351">
      <w:bodyDiv w:val="1"/>
      <w:marLeft w:val="0"/>
      <w:marRight w:val="0"/>
      <w:marTop w:val="0"/>
      <w:marBottom w:val="0"/>
      <w:divBdr>
        <w:top w:val="none" w:sz="0" w:space="0" w:color="auto"/>
        <w:left w:val="none" w:sz="0" w:space="0" w:color="auto"/>
        <w:bottom w:val="none" w:sz="0" w:space="0" w:color="auto"/>
        <w:right w:val="none" w:sz="0" w:space="0" w:color="auto"/>
      </w:divBdr>
    </w:div>
    <w:div w:id="521941230">
      <w:bodyDiv w:val="1"/>
      <w:marLeft w:val="0"/>
      <w:marRight w:val="0"/>
      <w:marTop w:val="0"/>
      <w:marBottom w:val="0"/>
      <w:divBdr>
        <w:top w:val="none" w:sz="0" w:space="0" w:color="auto"/>
        <w:left w:val="none" w:sz="0" w:space="0" w:color="auto"/>
        <w:bottom w:val="none" w:sz="0" w:space="0" w:color="auto"/>
        <w:right w:val="none" w:sz="0" w:space="0" w:color="auto"/>
      </w:divBdr>
    </w:div>
    <w:div w:id="523593196">
      <w:bodyDiv w:val="1"/>
      <w:marLeft w:val="0"/>
      <w:marRight w:val="0"/>
      <w:marTop w:val="0"/>
      <w:marBottom w:val="0"/>
      <w:divBdr>
        <w:top w:val="none" w:sz="0" w:space="0" w:color="auto"/>
        <w:left w:val="none" w:sz="0" w:space="0" w:color="auto"/>
        <w:bottom w:val="none" w:sz="0" w:space="0" w:color="auto"/>
        <w:right w:val="none" w:sz="0" w:space="0" w:color="auto"/>
      </w:divBdr>
    </w:div>
    <w:div w:id="531693793">
      <w:bodyDiv w:val="1"/>
      <w:marLeft w:val="0"/>
      <w:marRight w:val="0"/>
      <w:marTop w:val="0"/>
      <w:marBottom w:val="0"/>
      <w:divBdr>
        <w:top w:val="none" w:sz="0" w:space="0" w:color="auto"/>
        <w:left w:val="none" w:sz="0" w:space="0" w:color="auto"/>
        <w:bottom w:val="none" w:sz="0" w:space="0" w:color="auto"/>
        <w:right w:val="none" w:sz="0" w:space="0" w:color="auto"/>
      </w:divBdr>
    </w:div>
    <w:div w:id="782649792">
      <w:bodyDiv w:val="1"/>
      <w:marLeft w:val="0"/>
      <w:marRight w:val="0"/>
      <w:marTop w:val="0"/>
      <w:marBottom w:val="0"/>
      <w:divBdr>
        <w:top w:val="none" w:sz="0" w:space="0" w:color="auto"/>
        <w:left w:val="none" w:sz="0" w:space="0" w:color="auto"/>
        <w:bottom w:val="none" w:sz="0" w:space="0" w:color="auto"/>
        <w:right w:val="none" w:sz="0" w:space="0" w:color="auto"/>
      </w:divBdr>
    </w:div>
    <w:div w:id="949313100">
      <w:bodyDiv w:val="1"/>
      <w:marLeft w:val="0"/>
      <w:marRight w:val="0"/>
      <w:marTop w:val="0"/>
      <w:marBottom w:val="0"/>
      <w:divBdr>
        <w:top w:val="none" w:sz="0" w:space="0" w:color="auto"/>
        <w:left w:val="none" w:sz="0" w:space="0" w:color="auto"/>
        <w:bottom w:val="none" w:sz="0" w:space="0" w:color="auto"/>
        <w:right w:val="none" w:sz="0" w:space="0" w:color="auto"/>
      </w:divBdr>
    </w:div>
    <w:div w:id="959803356">
      <w:bodyDiv w:val="1"/>
      <w:marLeft w:val="0"/>
      <w:marRight w:val="0"/>
      <w:marTop w:val="0"/>
      <w:marBottom w:val="0"/>
      <w:divBdr>
        <w:top w:val="none" w:sz="0" w:space="0" w:color="auto"/>
        <w:left w:val="none" w:sz="0" w:space="0" w:color="auto"/>
        <w:bottom w:val="none" w:sz="0" w:space="0" w:color="auto"/>
        <w:right w:val="none" w:sz="0" w:space="0" w:color="auto"/>
      </w:divBdr>
    </w:div>
    <w:div w:id="964576090">
      <w:bodyDiv w:val="1"/>
      <w:marLeft w:val="0"/>
      <w:marRight w:val="0"/>
      <w:marTop w:val="0"/>
      <w:marBottom w:val="0"/>
      <w:divBdr>
        <w:top w:val="none" w:sz="0" w:space="0" w:color="auto"/>
        <w:left w:val="none" w:sz="0" w:space="0" w:color="auto"/>
        <w:bottom w:val="none" w:sz="0" w:space="0" w:color="auto"/>
        <w:right w:val="none" w:sz="0" w:space="0" w:color="auto"/>
      </w:divBdr>
    </w:div>
    <w:div w:id="985204146">
      <w:bodyDiv w:val="1"/>
      <w:marLeft w:val="0"/>
      <w:marRight w:val="0"/>
      <w:marTop w:val="0"/>
      <w:marBottom w:val="0"/>
      <w:divBdr>
        <w:top w:val="none" w:sz="0" w:space="0" w:color="auto"/>
        <w:left w:val="none" w:sz="0" w:space="0" w:color="auto"/>
        <w:bottom w:val="none" w:sz="0" w:space="0" w:color="auto"/>
        <w:right w:val="none" w:sz="0" w:space="0" w:color="auto"/>
      </w:divBdr>
    </w:div>
    <w:div w:id="1080103440">
      <w:bodyDiv w:val="1"/>
      <w:marLeft w:val="0"/>
      <w:marRight w:val="0"/>
      <w:marTop w:val="0"/>
      <w:marBottom w:val="0"/>
      <w:divBdr>
        <w:top w:val="none" w:sz="0" w:space="0" w:color="auto"/>
        <w:left w:val="none" w:sz="0" w:space="0" w:color="auto"/>
        <w:bottom w:val="none" w:sz="0" w:space="0" w:color="auto"/>
        <w:right w:val="none" w:sz="0" w:space="0" w:color="auto"/>
      </w:divBdr>
    </w:div>
    <w:div w:id="1178152087">
      <w:bodyDiv w:val="1"/>
      <w:marLeft w:val="0"/>
      <w:marRight w:val="0"/>
      <w:marTop w:val="0"/>
      <w:marBottom w:val="0"/>
      <w:divBdr>
        <w:top w:val="none" w:sz="0" w:space="0" w:color="auto"/>
        <w:left w:val="none" w:sz="0" w:space="0" w:color="auto"/>
        <w:bottom w:val="none" w:sz="0" w:space="0" w:color="auto"/>
        <w:right w:val="none" w:sz="0" w:space="0" w:color="auto"/>
      </w:divBdr>
    </w:div>
    <w:div w:id="1280452906">
      <w:bodyDiv w:val="1"/>
      <w:marLeft w:val="0"/>
      <w:marRight w:val="0"/>
      <w:marTop w:val="0"/>
      <w:marBottom w:val="0"/>
      <w:divBdr>
        <w:top w:val="none" w:sz="0" w:space="0" w:color="auto"/>
        <w:left w:val="none" w:sz="0" w:space="0" w:color="auto"/>
        <w:bottom w:val="none" w:sz="0" w:space="0" w:color="auto"/>
        <w:right w:val="none" w:sz="0" w:space="0" w:color="auto"/>
      </w:divBdr>
    </w:div>
    <w:div w:id="1324893319">
      <w:bodyDiv w:val="1"/>
      <w:marLeft w:val="0"/>
      <w:marRight w:val="0"/>
      <w:marTop w:val="0"/>
      <w:marBottom w:val="0"/>
      <w:divBdr>
        <w:top w:val="none" w:sz="0" w:space="0" w:color="auto"/>
        <w:left w:val="none" w:sz="0" w:space="0" w:color="auto"/>
        <w:bottom w:val="none" w:sz="0" w:space="0" w:color="auto"/>
        <w:right w:val="none" w:sz="0" w:space="0" w:color="auto"/>
      </w:divBdr>
    </w:div>
    <w:div w:id="1382244519">
      <w:bodyDiv w:val="1"/>
      <w:marLeft w:val="0"/>
      <w:marRight w:val="0"/>
      <w:marTop w:val="0"/>
      <w:marBottom w:val="0"/>
      <w:divBdr>
        <w:top w:val="none" w:sz="0" w:space="0" w:color="auto"/>
        <w:left w:val="none" w:sz="0" w:space="0" w:color="auto"/>
        <w:bottom w:val="none" w:sz="0" w:space="0" w:color="auto"/>
        <w:right w:val="none" w:sz="0" w:space="0" w:color="auto"/>
      </w:divBdr>
    </w:div>
    <w:div w:id="1399741285">
      <w:bodyDiv w:val="1"/>
      <w:marLeft w:val="0"/>
      <w:marRight w:val="0"/>
      <w:marTop w:val="0"/>
      <w:marBottom w:val="0"/>
      <w:divBdr>
        <w:top w:val="none" w:sz="0" w:space="0" w:color="auto"/>
        <w:left w:val="none" w:sz="0" w:space="0" w:color="auto"/>
        <w:bottom w:val="none" w:sz="0" w:space="0" w:color="auto"/>
        <w:right w:val="none" w:sz="0" w:space="0" w:color="auto"/>
      </w:divBdr>
    </w:div>
    <w:div w:id="1460413180">
      <w:bodyDiv w:val="1"/>
      <w:marLeft w:val="0"/>
      <w:marRight w:val="0"/>
      <w:marTop w:val="0"/>
      <w:marBottom w:val="0"/>
      <w:divBdr>
        <w:top w:val="none" w:sz="0" w:space="0" w:color="auto"/>
        <w:left w:val="none" w:sz="0" w:space="0" w:color="auto"/>
        <w:bottom w:val="none" w:sz="0" w:space="0" w:color="auto"/>
        <w:right w:val="none" w:sz="0" w:space="0" w:color="auto"/>
      </w:divBdr>
    </w:div>
    <w:div w:id="1549613210">
      <w:bodyDiv w:val="1"/>
      <w:marLeft w:val="0"/>
      <w:marRight w:val="0"/>
      <w:marTop w:val="0"/>
      <w:marBottom w:val="0"/>
      <w:divBdr>
        <w:top w:val="none" w:sz="0" w:space="0" w:color="auto"/>
        <w:left w:val="none" w:sz="0" w:space="0" w:color="auto"/>
        <w:bottom w:val="none" w:sz="0" w:space="0" w:color="auto"/>
        <w:right w:val="none" w:sz="0" w:space="0" w:color="auto"/>
      </w:divBdr>
    </w:div>
    <w:div w:id="1667830198">
      <w:bodyDiv w:val="1"/>
      <w:marLeft w:val="0"/>
      <w:marRight w:val="0"/>
      <w:marTop w:val="0"/>
      <w:marBottom w:val="0"/>
      <w:divBdr>
        <w:top w:val="none" w:sz="0" w:space="0" w:color="auto"/>
        <w:left w:val="none" w:sz="0" w:space="0" w:color="auto"/>
        <w:bottom w:val="none" w:sz="0" w:space="0" w:color="auto"/>
        <w:right w:val="none" w:sz="0" w:space="0" w:color="auto"/>
      </w:divBdr>
    </w:div>
    <w:div w:id="1685742519">
      <w:bodyDiv w:val="1"/>
      <w:marLeft w:val="0"/>
      <w:marRight w:val="0"/>
      <w:marTop w:val="0"/>
      <w:marBottom w:val="0"/>
      <w:divBdr>
        <w:top w:val="none" w:sz="0" w:space="0" w:color="auto"/>
        <w:left w:val="none" w:sz="0" w:space="0" w:color="auto"/>
        <w:bottom w:val="none" w:sz="0" w:space="0" w:color="auto"/>
        <w:right w:val="none" w:sz="0" w:space="0" w:color="auto"/>
      </w:divBdr>
    </w:div>
    <w:div w:id="1800683195">
      <w:bodyDiv w:val="1"/>
      <w:marLeft w:val="0"/>
      <w:marRight w:val="0"/>
      <w:marTop w:val="0"/>
      <w:marBottom w:val="0"/>
      <w:divBdr>
        <w:top w:val="none" w:sz="0" w:space="0" w:color="auto"/>
        <w:left w:val="none" w:sz="0" w:space="0" w:color="auto"/>
        <w:bottom w:val="none" w:sz="0" w:space="0" w:color="auto"/>
        <w:right w:val="none" w:sz="0" w:space="0" w:color="auto"/>
      </w:divBdr>
    </w:div>
    <w:div w:id="1837961942">
      <w:bodyDiv w:val="1"/>
      <w:marLeft w:val="0"/>
      <w:marRight w:val="0"/>
      <w:marTop w:val="0"/>
      <w:marBottom w:val="0"/>
      <w:divBdr>
        <w:top w:val="none" w:sz="0" w:space="0" w:color="auto"/>
        <w:left w:val="none" w:sz="0" w:space="0" w:color="auto"/>
        <w:bottom w:val="none" w:sz="0" w:space="0" w:color="auto"/>
        <w:right w:val="none" w:sz="0" w:space="0" w:color="auto"/>
      </w:divBdr>
    </w:div>
    <w:div w:id="18387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6C22F-554D-409F-9153-28F53205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1436</Words>
  <Characters>8189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9606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Allcock</dc:creator>
  <cp:lastModifiedBy>David Mee</cp:lastModifiedBy>
  <cp:revision>20</cp:revision>
  <cp:lastPrinted>2018-09-13T15:14:00Z</cp:lastPrinted>
  <dcterms:created xsi:type="dcterms:W3CDTF">2018-10-11T13:48:00Z</dcterms:created>
  <dcterms:modified xsi:type="dcterms:W3CDTF">2018-11-16T15:50:03Z</dcterms:modified>
  <dc:title>Pupil Growth funding</dc:title>
  <cp:keywords>
  </cp:keywords>
  <dc:subject>
  </dc:subject>
</cp:coreProperties>
</file>