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6D2EE8" w:rsidR="00B73C3D" w:rsidP="0002634B" w:rsidRDefault="00980E3B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6D2EE8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6C022BED" wp14:anchorId="3D972F66">
                <wp:simplePos x="0" y="0"/>
                <wp:positionH relativeFrom="column">
                  <wp:posOffset>5052060</wp:posOffset>
                </wp:positionH>
                <wp:positionV relativeFrom="paragraph">
                  <wp:posOffset>-18415</wp:posOffset>
                </wp:positionV>
                <wp:extent cx="1360805" cy="140398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D50AEF" w:rsidP="00FC24B3" w:rsidRDefault="00624AB0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Agenda item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3D972F66">
                <v:stroke joinstyle="miter"/>
                <v:path gradientshapeok="t" o:connecttype="rect"/>
              </v:shapetype>
              <v:shape id="Text Box 1" style="position:absolute;left:0;text-align:left;margin-left:397.8pt;margin-top:-1.45pt;width:107.1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">
                <v:textbox style="mso-fit-shape-to-text:t">
                  <w:txbxContent>
                    <w:p w:rsidRPr="0000788A" w:rsidR="00D50AEF" w:rsidP="00FC24B3" w:rsidRDefault="00624AB0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Agenda item 8</w:t>
                      </w:r>
                    </w:p>
                  </w:txbxContent>
                </v:textbox>
              </v:shape>
            </w:pict>
          </mc:Fallback>
        </mc:AlternateContent>
      </w:r>
      <w:r w:rsidRPr="006D2EE8" w:rsidR="00E024A0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2761DB8B" wp14:anchorId="27815335">
                <wp:simplePos x="0" y="0"/>
                <wp:positionH relativeFrom="column">
                  <wp:posOffset>431165</wp:posOffset>
                </wp:positionH>
                <wp:positionV relativeFrom="paragraph">
                  <wp:posOffset>-24130</wp:posOffset>
                </wp:positionV>
                <wp:extent cx="1190625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D50AEF" w:rsidP="0000788A" w:rsidRDefault="00D50AEF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Rep 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style="position:absolute;left:0;text-align:left;margin-left:33.95pt;margin-top:-1.9pt;width:93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" w14:anchorId="27815335">
                <v:textbox style="mso-fit-shape-to-text:t">
                  <w:txbxContent>
                    <w:p w:rsidRPr="0000788A" w:rsidR="00D50AEF" w:rsidP="0000788A" w:rsidRDefault="00D50AEF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Rep 755</w:t>
                      </w:r>
                    </w:p>
                  </w:txbxContent>
                </v:textbox>
              </v:shape>
            </w:pict>
          </mc:Fallback>
        </mc:AlternateContent>
      </w:r>
      <w:r w:rsidRPr="006D2EE8" w:rsidR="00B73C3D">
        <w:rPr>
          <w:rFonts w:ascii="Arial" w:hAnsi="Arial" w:cs="Arial"/>
          <w:b/>
          <w:sz w:val="26"/>
          <w:szCs w:val="26"/>
          <w:u w:val="single"/>
        </w:rPr>
        <w:t>DERBYSHIRE COUNTY COUNCIL</w:t>
      </w:r>
    </w:p>
    <w:p w:rsidRPr="003B0486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6D2EE8" w:rsidR="00B73C3D" w:rsidP="00B73C3D" w:rsidRDefault="000737F8">
      <w:pPr>
        <w:ind w:left="709"/>
        <w:jc w:val="center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b/>
          <w:sz w:val="26"/>
          <w:szCs w:val="26"/>
          <w:u w:val="single"/>
        </w:rPr>
        <w:t>SCHOOLS FORUM</w:t>
      </w:r>
    </w:p>
    <w:p w:rsidRPr="003B0486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6D2EE8" w:rsidR="00B73C3D" w:rsidP="00B73C3D" w:rsidRDefault="000B7054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22</w:t>
      </w:r>
      <w:r w:rsidRPr="000B7054">
        <w:rPr>
          <w:rFonts w:ascii="Arial" w:hAnsi="Arial" w:cs="Arial"/>
          <w:b/>
          <w:sz w:val="26"/>
          <w:szCs w:val="26"/>
          <w:u w:val="single"/>
          <w:vertAlign w:val="superscript"/>
        </w:rPr>
        <w:t>nd</w:t>
      </w:r>
      <w:r>
        <w:rPr>
          <w:rFonts w:ascii="Arial" w:hAnsi="Arial" w:cs="Arial"/>
          <w:b/>
          <w:sz w:val="26"/>
          <w:szCs w:val="26"/>
          <w:u w:val="single"/>
        </w:rPr>
        <w:t xml:space="preserve"> November </w:t>
      </w:r>
      <w:r w:rsidRPr="006D2EE8" w:rsidR="00B73C3D">
        <w:rPr>
          <w:rFonts w:ascii="Arial" w:hAnsi="Arial" w:cs="Arial"/>
          <w:b/>
          <w:sz w:val="26"/>
          <w:szCs w:val="26"/>
          <w:u w:val="single"/>
        </w:rPr>
        <w:t>201</w:t>
      </w:r>
      <w:r w:rsidR="00592F3C">
        <w:rPr>
          <w:rFonts w:ascii="Arial" w:hAnsi="Arial" w:cs="Arial"/>
          <w:b/>
          <w:sz w:val="26"/>
          <w:szCs w:val="26"/>
          <w:u w:val="single"/>
        </w:rPr>
        <w:t>8</w:t>
      </w:r>
    </w:p>
    <w:p w:rsidRPr="003B0486" w:rsidR="00FC24B3" w:rsidP="00B73C3D" w:rsidRDefault="00FC24B3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6D2EE8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6D2EE8">
        <w:rPr>
          <w:rFonts w:ascii="Arial" w:hAnsi="Arial" w:cs="Arial"/>
          <w:b/>
          <w:sz w:val="26"/>
          <w:szCs w:val="26"/>
          <w:u w:val="single"/>
        </w:rPr>
        <w:t>Report of the Strategic Director for Children</w:t>
      </w:r>
      <w:r w:rsidRPr="006D2EE8" w:rsidR="00E352A1">
        <w:rPr>
          <w:rFonts w:ascii="Arial" w:hAnsi="Arial" w:cs="Arial"/>
          <w:b/>
          <w:sz w:val="26"/>
          <w:szCs w:val="26"/>
          <w:u w:val="single"/>
        </w:rPr>
        <w:t>’s Services</w:t>
      </w:r>
    </w:p>
    <w:p w:rsidRPr="003B0486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6D2EE8" w:rsidR="00FC24B3" w:rsidP="00B73C3D" w:rsidRDefault="004D6A15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Early Years Block b</w:t>
      </w:r>
      <w:r w:rsidRPr="006D2EE8" w:rsidR="00FC24B3">
        <w:rPr>
          <w:rFonts w:ascii="Arial" w:hAnsi="Arial" w:cs="Arial"/>
          <w:b/>
          <w:sz w:val="26"/>
          <w:szCs w:val="26"/>
          <w:u w:val="single"/>
        </w:rPr>
        <w:t xml:space="preserve">udgets </w:t>
      </w:r>
      <w:r w:rsidRPr="006D2EE8" w:rsidR="00F56188">
        <w:rPr>
          <w:rFonts w:ascii="Arial" w:hAnsi="Arial" w:cs="Arial"/>
          <w:b/>
          <w:sz w:val="26"/>
          <w:szCs w:val="26"/>
          <w:u w:val="single"/>
        </w:rPr>
        <w:t>201</w:t>
      </w:r>
      <w:r w:rsidR="000B7054">
        <w:rPr>
          <w:rFonts w:ascii="Arial" w:hAnsi="Arial" w:cs="Arial"/>
          <w:b/>
          <w:sz w:val="26"/>
          <w:szCs w:val="26"/>
          <w:u w:val="single"/>
        </w:rPr>
        <w:t>9</w:t>
      </w:r>
      <w:r w:rsidR="0083078A">
        <w:rPr>
          <w:rFonts w:ascii="Arial" w:hAnsi="Arial" w:cs="Arial"/>
          <w:b/>
          <w:sz w:val="26"/>
          <w:szCs w:val="26"/>
          <w:u w:val="single"/>
        </w:rPr>
        <w:t>-</w:t>
      </w:r>
      <w:r w:rsidR="000B7054">
        <w:rPr>
          <w:rFonts w:ascii="Arial" w:hAnsi="Arial" w:cs="Arial"/>
          <w:b/>
          <w:sz w:val="26"/>
          <w:szCs w:val="26"/>
          <w:u w:val="single"/>
        </w:rPr>
        <w:t>20</w:t>
      </w:r>
    </w:p>
    <w:p w:rsidRPr="006D2EE8" w:rsidR="00B73C3D" w:rsidP="00461D77" w:rsidRDefault="00B73C3D">
      <w:pPr>
        <w:ind w:left="284"/>
        <w:rPr>
          <w:rFonts w:ascii="Arial" w:hAnsi="Arial" w:cs="Arial"/>
          <w:sz w:val="20"/>
          <w:szCs w:val="26"/>
        </w:rPr>
      </w:pPr>
    </w:p>
    <w:p w:rsidRPr="001B0BAC" w:rsidR="00B73C3D" w:rsidP="001B0BAC" w:rsidRDefault="00B73C3D">
      <w:pPr>
        <w:pStyle w:val="ListParagraph"/>
        <w:numPr>
          <w:ilvl w:val="0"/>
          <w:numId w:val="32"/>
        </w:numPr>
        <w:ind w:left="1134" w:hanging="850"/>
        <w:rPr>
          <w:rFonts w:ascii="Arial" w:hAnsi="Arial" w:cs="Arial"/>
          <w:b/>
          <w:sz w:val="26"/>
          <w:szCs w:val="26"/>
          <w:u w:val="single"/>
        </w:rPr>
      </w:pPr>
      <w:r w:rsidRPr="006D2EE8">
        <w:rPr>
          <w:rFonts w:ascii="Arial" w:hAnsi="Arial" w:cs="Arial"/>
          <w:b/>
          <w:sz w:val="26"/>
          <w:szCs w:val="26"/>
          <w:u w:val="single"/>
        </w:rPr>
        <w:t>Purpose of the Report</w:t>
      </w:r>
    </w:p>
    <w:p w:rsidRPr="006D2EE8" w:rsidR="00B73C3D" w:rsidP="00F101F1" w:rsidRDefault="00B73C3D">
      <w:pPr>
        <w:ind w:left="284"/>
        <w:rPr>
          <w:rFonts w:ascii="Arial" w:hAnsi="Arial" w:cs="Arial"/>
          <w:sz w:val="26"/>
          <w:szCs w:val="26"/>
        </w:rPr>
      </w:pPr>
    </w:p>
    <w:p w:rsidRPr="006D2EE8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 xml:space="preserve">To </w:t>
      </w:r>
      <w:r w:rsidR="000B7054">
        <w:rPr>
          <w:rFonts w:ascii="Arial" w:hAnsi="Arial" w:cs="Arial"/>
          <w:sz w:val="26"/>
          <w:szCs w:val="26"/>
        </w:rPr>
        <w:t xml:space="preserve">update the </w:t>
      </w:r>
      <w:r w:rsidRPr="006D2EE8" w:rsidR="009C7266">
        <w:rPr>
          <w:rFonts w:ascii="Arial" w:hAnsi="Arial" w:cs="Arial"/>
          <w:sz w:val="26"/>
          <w:szCs w:val="26"/>
        </w:rPr>
        <w:t>School</w:t>
      </w:r>
      <w:r w:rsidR="000B25BD">
        <w:rPr>
          <w:rFonts w:ascii="Arial" w:hAnsi="Arial" w:cs="Arial"/>
          <w:sz w:val="26"/>
          <w:szCs w:val="26"/>
        </w:rPr>
        <w:t>s</w:t>
      </w:r>
      <w:r w:rsidRPr="006D2EE8" w:rsidR="009C7266">
        <w:rPr>
          <w:rFonts w:ascii="Arial" w:hAnsi="Arial" w:cs="Arial"/>
          <w:sz w:val="26"/>
          <w:szCs w:val="26"/>
        </w:rPr>
        <w:t xml:space="preserve"> </w:t>
      </w:r>
      <w:r w:rsidRPr="006D2EE8" w:rsidR="000737F8">
        <w:rPr>
          <w:rFonts w:ascii="Arial" w:hAnsi="Arial" w:cs="Arial"/>
          <w:sz w:val="26"/>
          <w:szCs w:val="26"/>
        </w:rPr>
        <w:t>Forum</w:t>
      </w:r>
      <w:r w:rsidR="000B7054">
        <w:rPr>
          <w:rFonts w:ascii="Arial" w:hAnsi="Arial" w:cs="Arial"/>
          <w:sz w:val="26"/>
          <w:szCs w:val="26"/>
        </w:rPr>
        <w:t xml:space="preserve"> on the key Early Years Block issues for 2019-20</w:t>
      </w:r>
      <w:r w:rsidRPr="006D2EE8" w:rsidR="00187E75">
        <w:rPr>
          <w:rFonts w:ascii="Arial" w:hAnsi="Arial" w:cs="Arial"/>
          <w:sz w:val="26"/>
          <w:szCs w:val="26"/>
        </w:rPr>
        <w:t>.</w:t>
      </w:r>
    </w:p>
    <w:p w:rsidRPr="006D2EE8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</w:p>
    <w:p w:rsidRPr="006D2EE8" w:rsidR="00B73C3D" w:rsidP="001B0BAC" w:rsidRDefault="00B73C3D">
      <w:pPr>
        <w:ind w:left="1134" w:hanging="850"/>
        <w:rPr>
          <w:rFonts w:ascii="Arial" w:hAnsi="Arial" w:cs="Arial"/>
          <w:b/>
          <w:sz w:val="26"/>
          <w:szCs w:val="26"/>
        </w:rPr>
      </w:pPr>
      <w:r w:rsidRPr="006D2EE8">
        <w:rPr>
          <w:rFonts w:ascii="Arial" w:hAnsi="Arial" w:cs="Arial"/>
          <w:b/>
          <w:sz w:val="26"/>
          <w:szCs w:val="26"/>
        </w:rPr>
        <w:t>2.</w:t>
      </w:r>
      <w:r w:rsidRPr="006D2EE8">
        <w:rPr>
          <w:rFonts w:ascii="Arial" w:hAnsi="Arial" w:cs="Arial"/>
          <w:b/>
          <w:sz w:val="26"/>
          <w:szCs w:val="26"/>
        </w:rPr>
        <w:tab/>
      </w:r>
      <w:r w:rsidRPr="001B0BAC">
        <w:rPr>
          <w:rFonts w:ascii="Arial" w:hAnsi="Arial" w:cs="Arial"/>
          <w:b/>
          <w:sz w:val="26"/>
          <w:szCs w:val="26"/>
          <w:u w:val="single"/>
        </w:rPr>
        <w:t>Information and Analysis</w:t>
      </w:r>
      <w:r w:rsidRPr="006D2EE8">
        <w:rPr>
          <w:rFonts w:ascii="Arial" w:hAnsi="Arial" w:cs="Arial"/>
          <w:b/>
          <w:sz w:val="26"/>
          <w:szCs w:val="26"/>
        </w:rPr>
        <w:t xml:space="preserve"> </w:t>
      </w:r>
    </w:p>
    <w:p w:rsidRPr="006D2EE8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b/>
          <w:sz w:val="26"/>
          <w:szCs w:val="26"/>
        </w:rPr>
      </w:pPr>
    </w:p>
    <w:p w:rsidRPr="001B0BAC" w:rsidR="009C3151" w:rsidP="001B0BAC" w:rsidRDefault="009C3151">
      <w:pPr>
        <w:ind w:left="1134" w:hanging="850"/>
        <w:rPr>
          <w:rFonts w:ascii="Arial" w:hAnsi="Arial" w:cs="Arial"/>
          <w:b/>
          <w:sz w:val="26"/>
          <w:szCs w:val="26"/>
        </w:rPr>
      </w:pPr>
      <w:r w:rsidRPr="006D2EE8">
        <w:rPr>
          <w:rFonts w:ascii="Arial" w:hAnsi="Arial" w:cs="Arial"/>
          <w:b/>
          <w:sz w:val="26"/>
          <w:szCs w:val="26"/>
        </w:rPr>
        <w:t xml:space="preserve">2.1 </w:t>
      </w:r>
      <w:r w:rsidRPr="006D2EE8" w:rsidR="00B35892">
        <w:rPr>
          <w:rFonts w:ascii="Arial" w:hAnsi="Arial" w:cs="Arial"/>
          <w:b/>
          <w:sz w:val="26"/>
          <w:szCs w:val="26"/>
        </w:rPr>
        <w:tab/>
      </w:r>
      <w:r w:rsidRPr="001B0BAC">
        <w:rPr>
          <w:rFonts w:ascii="Arial" w:hAnsi="Arial" w:cs="Arial"/>
          <w:b/>
          <w:sz w:val="26"/>
          <w:szCs w:val="26"/>
          <w:u w:val="single"/>
        </w:rPr>
        <w:t>DSG Income</w:t>
      </w:r>
    </w:p>
    <w:p w:rsidRPr="006D2EE8" w:rsidR="009C3151" w:rsidP="0074017A" w:rsidRDefault="009C3151">
      <w:pPr>
        <w:ind w:left="284"/>
        <w:rPr>
          <w:rFonts w:ascii="Arial" w:hAnsi="Arial" w:cs="Arial"/>
          <w:sz w:val="26"/>
          <w:szCs w:val="26"/>
        </w:rPr>
      </w:pPr>
    </w:p>
    <w:p w:rsidR="00D66DC1" w:rsidP="00FC24B3" w:rsidRDefault="00FC24B3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 xml:space="preserve">The indicative </w:t>
      </w:r>
      <w:r w:rsidR="00D0403E">
        <w:rPr>
          <w:rFonts w:ascii="Arial" w:hAnsi="Arial" w:cs="Arial"/>
          <w:sz w:val="26"/>
          <w:szCs w:val="26"/>
        </w:rPr>
        <w:t xml:space="preserve">Early Years </w:t>
      </w:r>
      <w:r w:rsidRPr="006D2EE8">
        <w:rPr>
          <w:rFonts w:ascii="Arial" w:hAnsi="Arial" w:cs="Arial"/>
          <w:sz w:val="26"/>
          <w:szCs w:val="26"/>
        </w:rPr>
        <w:t>D</w:t>
      </w:r>
      <w:r w:rsidR="00D822A9">
        <w:rPr>
          <w:rFonts w:ascii="Arial" w:hAnsi="Arial" w:cs="Arial"/>
          <w:sz w:val="26"/>
          <w:szCs w:val="26"/>
        </w:rPr>
        <w:t xml:space="preserve">edicated </w:t>
      </w:r>
      <w:r w:rsidRPr="006D2EE8">
        <w:rPr>
          <w:rFonts w:ascii="Arial" w:hAnsi="Arial" w:cs="Arial"/>
          <w:sz w:val="26"/>
          <w:szCs w:val="26"/>
        </w:rPr>
        <w:t>S</w:t>
      </w:r>
      <w:r w:rsidR="00D822A9">
        <w:rPr>
          <w:rFonts w:ascii="Arial" w:hAnsi="Arial" w:cs="Arial"/>
          <w:sz w:val="26"/>
          <w:szCs w:val="26"/>
        </w:rPr>
        <w:t xml:space="preserve">chools </w:t>
      </w:r>
      <w:r w:rsidRPr="006D2EE8">
        <w:rPr>
          <w:rFonts w:ascii="Arial" w:hAnsi="Arial" w:cs="Arial"/>
          <w:sz w:val="26"/>
          <w:szCs w:val="26"/>
        </w:rPr>
        <w:t>G</w:t>
      </w:r>
      <w:r w:rsidR="00D822A9">
        <w:rPr>
          <w:rFonts w:ascii="Arial" w:hAnsi="Arial" w:cs="Arial"/>
          <w:sz w:val="26"/>
          <w:szCs w:val="26"/>
        </w:rPr>
        <w:t xml:space="preserve">rant (DSG) </w:t>
      </w:r>
      <w:r w:rsidRPr="006D2EE8">
        <w:rPr>
          <w:rFonts w:ascii="Arial" w:hAnsi="Arial" w:cs="Arial"/>
          <w:sz w:val="26"/>
          <w:szCs w:val="26"/>
        </w:rPr>
        <w:t>allocations for 201</w:t>
      </w:r>
      <w:r w:rsidR="000B7054">
        <w:rPr>
          <w:rFonts w:ascii="Arial" w:hAnsi="Arial" w:cs="Arial"/>
          <w:sz w:val="26"/>
          <w:szCs w:val="26"/>
        </w:rPr>
        <w:t>9</w:t>
      </w:r>
      <w:r w:rsidRPr="006D2EE8">
        <w:rPr>
          <w:rFonts w:ascii="Arial" w:hAnsi="Arial" w:cs="Arial"/>
          <w:sz w:val="26"/>
          <w:szCs w:val="26"/>
        </w:rPr>
        <w:t>-</w:t>
      </w:r>
      <w:r w:rsidR="000B7054">
        <w:rPr>
          <w:rFonts w:ascii="Arial" w:hAnsi="Arial" w:cs="Arial"/>
          <w:sz w:val="26"/>
          <w:szCs w:val="26"/>
        </w:rPr>
        <w:t xml:space="preserve">20 </w:t>
      </w:r>
      <w:r w:rsidR="000B25BD">
        <w:rPr>
          <w:rFonts w:ascii="Arial" w:hAnsi="Arial" w:cs="Arial"/>
          <w:sz w:val="26"/>
          <w:szCs w:val="26"/>
        </w:rPr>
        <w:t xml:space="preserve">will </w:t>
      </w:r>
      <w:r w:rsidR="000B7054">
        <w:rPr>
          <w:rFonts w:ascii="Arial" w:hAnsi="Arial" w:cs="Arial"/>
          <w:sz w:val="26"/>
          <w:szCs w:val="26"/>
        </w:rPr>
        <w:t xml:space="preserve">be announced </w:t>
      </w:r>
      <w:r w:rsidRPr="006D2EE8">
        <w:rPr>
          <w:rFonts w:ascii="Arial" w:hAnsi="Arial" w:cs="Arial"/>
          <w:sz w:val="26"/>
          <w:szCs w:val="26"/>
        </w:rPr>
        <w:t xml:space="preserve">by the DfE </w:t>
      </w:r>
      <w:r w:rsidR="000B7054">
        <w:rPr>
          <w:rFonts w:ascii="Arial" w:hAnsi="Arial" w:cs="Arial"/>
          <w:sz w:val="26"/>
          <w:szCs w:val="26"/>
        </w:rPr>
        <w:t>in December</w:t>
      </w:r>
      <w:r w:rsidRPr="006D2EE8">
        <w:rPr>
          <w:rFonts w:ascii="Arial" w:hAnsi="Arial" w:cs="Arial"/>
          <w:sz w:val="26"/>
          <w:szCs w:val="26"/>
        </w:rPr>
        <w:t xml:space="preserve">. </w:t>
      </w:r>
      <w:r w:rsidR="000B7054">
        <w:rPr>
          <w:rFonts w:ascii="Arial" w:hAnsi="Arial" w:cs="Arial"/>
          <w:sz w:val="26"/>
          <w:szCs w:val="26"/>
        </w:rPr>
        <w:t xml:space="preserve">This report looks at the potential allocations and the implications for both providers and the Authority next year. </w:t>
      </w:r>
    </w:p>
    <w:p w:rsidR="000B7054" w:rsidP="00FC24B3" w:rsidRDefault="000B7054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</w:p>
    <w:p w:rsidR="000B7054" w:rsidP="00FC24B3" w:rsidRDefault="000B7054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N.B. A further report will be brought to the January meeting of the Forum </w:t>
      </w:r>
      <w:r w:rsidR="00D0403E">
        <w:rPr>
          <w:rFonts w:ascii="Arial" w:hAnsi="Arial" w:cs="Arial"/>
          <w:sz w:val="26"/>
          <w:szCs w:val="26"/>
        </w:rPr>
        <w:t xml:space="preserve">to look at the </w:t>
      </w:r>
      <w:r>
        <w:rPr>
          <w:rFonts w:ascii="Arial" w:hAnsi="Arial" w:cs="Arial"/>
          <w:sz w:val="26"/>
          <w:szCs w:val="26"/>
        </w:rPr>
        <w:t xml:space="preserve">actual 2019-20 settlement and seek Forum approval to the level of central spend. </w:t>
      </w:r>
    </w:p>
    <w:p w:rsidR="000B7054" w:rsidP="00FC24B3" w:rsidRDefault="000B7054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</w:p>
    <w:p w:rsidRPr="006D2EE8" w:rsidR="00FC24B3" w:rsidP="00FC24B3" w:rsidRDefault="00FC24B3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 xml:space="preserve">A summary of the </w:t>
      </w:r>
      <w:r w:rsidR="000B7054">
        <w:rPr>
          <w:rFonts w:ascii="Arial" w:hAnsi="Arial" w:cs="Arial"/>
          <w:sz w:val="26"/>
          <w:szCs w:val="26"/>
        </w:rPr>
        <w:t xml:space="preserve">estimated </w:t>
      </w:r>
      <w:r w:rsidRPr="006D2EE8">
        <w:rPr>
          <w:rFonts w:ascii="Arial" w:hAnsi="Arial" w:cs="Arial"/>
          <w:sz w:val="26"/>
          <w:szCs w:val="26"/>
        </w:rPr>
        <w:t>Early Years DSG allocations</w:t>
      </w:r>
      <w:r w:rsidR="00862F09">
        <w:rPr>
          <w:rFonts w:ascii="Arial" w:hAnsi="Arial" w:cs="Arial"/>
          <w:sz w:val="26"/>
          <w:szCs w:val="26"/>
        </w:rPr>
        <w:t xml:space="preserve"> </w:t>
      </w:r>
      <w:r w:rsidR="000B7054">
        <w:rPr>
          <w:rFonts w:ascii="Arial" w:hAnsi="Arial" w:cs="Arial"/>
          <w:sz w:val="26"/>
          <w:szCs w:val="26"/>
        </w:rPr>
        <w:t xml:space="preserve">is </w:t>
      </w:r>
      <w:r w:rsidRPr="006D2EE8">
        <w:rPr>
          <w:rFonts w:ascii="Arial" w:hAnsi="Arial" w:cs="Arial"/>
          <w:sz w:val="26"/>
          <w:szCs w:val="26"/>
        </w:rPr>
        <w:t xml:space="preserve">provided in </w:t>
      </w:r>
      <w:r w:rsidR="00433514">
        <w:rPr>
          <w:rFonts w:ascii="Arial" w:hAnsi="Arial" w:cs="Arial"/>
          <w:sz w:val="26"/>
          <w:szCs w:val="26"/>
        </w:rPr>
        <w:t>T</w:t>
      </w:r>
      <w:r w:rsidRPr="006D2EE8">
        <w:rPr>
          <w:rFonts w:ascii="Arial" w:hAnsi="Arial" w:cs="Arial"/>
          <w:sz w:val="26"/>
          <w:szCs w:val="26"/>
        </w:rPr>
        <w:t xml:space="preserve">able </w:t>
      </w:r>
      <w:r w:rsidR="00433514">
        <w:rPr>
          <w:rFonts w:ascii="Arial" w:hAnsi="Arial" w:cs="Arial"/>
          <w:sz w:val="26"/>
          <w:szCs w:val="26"/>
        </w:rPr>
        <w:t xml:space="preserve">1 </w:t>
      </w:r>
      <w:r w:rsidRPr="006D2EE8">
        <w:rPr>
          <w:rFonts w:ascii="Arial" w:hAnsi="Arial" w:cs="Arial"/>
          <w:sz w:val="26"/>
          <w:szCs w:val="26"/>
        </w:rPr>
        <w:t>below:</w:t>
      </w:r>
    </w:p>
    <w:p w:rsidR="00156CB8" w:rsidP="00156CB8" w:rsidRDefault="00156CB8">
      <w:pPr>
        <w:ind w:left="284"/>
        <w:rPr>
          <w:rFonts w:ascii="Arial" w:hAnsi="Arial" w:cs="Arial"/>
          <w:sz w:val="26"/>
          <w:szCs w:val="26"/>
        </w:rPr>
      </w:pPr>
    </w:p>
    <w:p w:rsidRPr="00433514" w:rsidR="00433514" w:rsidP="00156CB8" w:rsidRDefault="00433514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433514">
        <w:rPr>
          <w:rFonts w:ascii="Arial" w:hAnsi="Arial" w:cs="Arial"/>
          <w:b/>
          <w:sz w:val="26"/>
          <w:szCs w:val="26"/>
          <w:u w:val="single"/>
        </w:rPr>
        <w:t xml:space="preserve">Table 1 – Early Years </w:t>
      </w:r>
      <w:r>
        <w:rPr>
          <w:rFonts w:ascii="Arial" w:hAnsi="Arial" w:cs="Arial"/>
          <w:b/>
          <w:sz w:val="26"/>
          <w:szCs w:val="26"/>
          <w:u w:val="single"/>
        </w:rPr>
        <w:t xml:space="preserve">Indicative </w:t>
      </w:r>
      <w:r w:rsidRPr="00433514">
        <w:rPr>
          <w:rFonts w:ascii="Arial" w:hAnsi="Arial" w:cs="Arial"/>
          <w:b/>
          <w:sz w:val="26"/>
          <w:szCs w:val="26"/>
          <w:u w:val="single"/>
        </w:rPr>
        <w:t>Settlement 201</w:t>
      </w:r>
      <w:r w:rsidR="000B7054">
        <w:rPr>
          <w:rFonts w:ascii="Arial" w:hAnsi="Arial" w:cs="Arial"/>
          <w:b/>
          <w:sz w:val="26"/>
          <w:szCs w:val="26"/>
          <w:u w:val="single"/>
        </w:rPr>
        <w:t>9</w:t>
      </w:r>
      <w:r w:rsidRPr="00433514">
        <w:rPr>
          <w:rFonts w:ascii="Arial" w:hAnsi="Arial" w:cs="Arial"/>
          <w:b/>
          <w:sz w:val="26"/>
          <w:szCs w:val="26"/>
          <w:u w:val="single"/>
        </w:rPr>
        <w:t>-</w:t>
      </w:r>
      <w:r w:rsidR="000B7054">
        <w:rPr>
          <w:rFonts w:ascii="Arial" w:hAnsi="Arial" w:cs="Arial"/>
          <w:b/>
          <w:sz w:val="26"/>
          <w:szCs w:val="26"/>
          <w:u w:val="single"/>
        </w:rPr>
        <w:t>20</w:t>
      </w:r>
    </w:p>
    <w:p w:rsidRPr="006D2EE8" w:rsidR="00433514" w:rsidP="00156CB8" w:rsidRDefault="00433514">
      <w:pPr>
        <w:ind w:left="284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091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372"/>
        <w:gridCol w:w="1401"/>
        <w:gridCol w:w="1401"/>
        <w:gridCol w:w="742"/>
      </w:tblGrid>
      <w:tr w:rsidRPr="0002634B" w:rsidR="007A5BC7" w:rsidTr="00624AB0">
        <w:trPr>
          <w:gridAfter w:val="1"/>
          <w:wAfter w:w="742" w:type="dxa"/>
        </w:trPr>
        <w:tc>
          <w:tcPr>
            <w:tcW w:w="7372" w:type="dxa"/>
            <w:vAlign w:val="bottom"/>
          </w:tcPr>
          <w:p w:rsidRPr="0002634B" w:rsidR="007A5BC7" w:rsidP="00306598" w:rsidRDefault="007A5BC7">
            <w:pPr>
              <w:ind w:left="34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Item</w:t>
            </w:r>
          </w:p>
        </w:tc>
        <w:tc>
          <w:tcPr>
            <w:tcW w:w="1401" w:type="dxa"/>
            <w:vAlign w:val="bottom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201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</w:t>
            </w: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-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20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  <w:t>2018-19</w:t>
            </w:r>
          </w:p>
        </w:tc>
      </w:tr>
      <w:tr w:rsidRPr="0002634B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306598" w:rsidRDefault="007A5BC7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sz w:val="25"/>
                <w:szCs w:val="25"/>
              </w:rPr>
              <w:t>Early Years Block:</w:t>
            </w:r>
          </w:p>
        </w:tc>
        <w:tc>
          <w:tcPr>
            <w:tcW w:w="1401" w:type="dxa"/>
            <w:vAlign w:val="bottom"/>
          </w:tcPr>
          <w:p w:rsidRPr="0002634B" w:rsidR="007A5BC7" w:rsidP="00306598" w:rsidRDefault="007A5BC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</w:p>
        </w:tc>
        <w:tc>
          <w:tcPr>
            <w:tcW w:w="1401" w:type="dxa"/>
          </w:tcPr>
          <w:p w:rsidRPr="007A5BC7" w:rsidR="007A5BC7" w:rsidP="00306598" w:rsidRDefault="007A5BC7">
            <w:pPr>
              <w:jc w:val="right"/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</w:pPr>
          </w:p>
        </w:tc>
      </w:tr>
      <w:tr w:rsidRPr="0002634B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624AB0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 xml:space="preserve">No. 3 &amp; 4 year olds – universal </w:t>
            </w:r>
            <w:proofErr w:type="spellStart"/>
            <w:r w:rsidRPr="0002634B">
              <w:rPr>
                <w:rFonts w:ascii="Arial" w:hAnsi="Arial" w:cs="Arial"/>
                <w:sz w:val="25"/>
                <w:szCs w:val="25"/>
              </w:rPr>
              <w:t>prov</w:t>
            </w:r>
            <w:r>
              <w:rPr>
                <w:rFonts w:ascii="Arial" w:hAnsi="Arial" w:cs="Arial"/>
                <w:sz w:val="25"/>
                <w:szCs w:val="25"/>
              </w:rPr>
              <w:t>’n</w:t>
            </w:r>
            <w:proofErr w:type="spellEnd"/>
            <w:r>
              <w:rPr>
                <w:rFonts w:ascii="Arial" w:hAnsi="Arial" w:cs="Arial"/>
                <w:sz w:val="25"/>
                <w:szCs w:val="25"/>
              </w:rPr>
              <w:t xml:space="preserve"> (PTE – part time </w:t>
            </w:r>
            <w:proofErr w:type="spellStart"/>
            <w:r>
              <w:rPr>
                <w:rFonts w:ascii="Arial" w:hAnsi="Arial" w:cs="Arial"/>
                <w:sz w:val="25"/>
                <w:szCs w:val="25"/>
              </w:rPr>
              <w:t>equiv</w:t>
            </w:r>
            <w:proofErr w:type="spellEnd"/>
            <w:r>
              <w:rPr>
                <w:rFonts w:ascii="Arial" w:hAnsi="Arial" w:cs="Arial"/>
                <w:sz w:val="25"/>
                <w:szCs w:val="25"/>
              </w:rPr>
              <w:t>)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10,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149.37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10,590.53</w:t>
            </w:r>
          </w:p>
        </w:tc>
      </w:tr>
      <w:tr w:rsidRPr="0002634B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>Universal</w:t>
            </w:r>
            <w:r>
              <w:rPr>
                <w:rFonts w:ascii="Arial" w:hAnsi="Arial" w:cs="Arial"/>
                <w:sz w:val="25"/>
                <w:szCs w:val="25"/>
              </w:rPr>
              <w:t xml:space="preserve"> entitlement - </w:t>
            </w:r>
            <w:r w:rsidRPr="0002634B">
              <w:rPr>
                <w:rFonts w:ascii="Arial" w:hAnsi="Arial" w:cs="Arial"/>
                <w:sz w:val="25"/>
                <w:szCs w:val="25"/>
              </w:rPr>
              <w:t>3 &amp; 4 year old hourly rate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£4.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400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£4.400</w:t>
            </w:r>
          </w:p>
        </w:tc>
      </w:tr>
      <w:tr w:rsidRPr="0002634B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proofErr w:type="spellStart"/>
            <w:r w:rsidRPr="0002634B">
              <w:rPr>
                <w:rFonts w:ascii="Arial" w:hAnsi="Arial" w:cs="Arial"/>
                <w:b/>
                <w:sz w:val="25"/>
                <w:szCs w:val="25"/>
              </w:rPr>
              <w:t>Sub total</w:t>
            </w:r>
            <w:proofErr w:type="spellEnd"/>
            <w:r w:rsidRPr="0002634B">
              <w:rPr>
                <w:rFonts w:ascii="Arial" w:hAnsi="Arial" w:cs="Arial"/>
                <w:b/>
                <w:sz w:val="25"/>
                <w:szCs w:val="25"/>
              </w:rPr>
              <w:t xml:space="preserve"> (£m)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5</w:t>
            </w: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455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  <w:t>26.561</w:t>
            </w:r>
          </w:p>
        </w:tc>
      </w:tr>
      <w:tr w:rsidRPr="0002634B" w:rsidR="00624AB0" w:rsidTr="00624AB0">
        <w:tc>
          <w:tcPr>
            <w:tcW w:w="7372" w:type="dxa"/>
          </w:tcPr>
          <w:p w:rsidRPr="0002634B" w:rsidR="00624AB0" w:rsidP="00624AB0" w:rsidRDefault="00624AB0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 xml:space="preserve">Maintained Nursery School </w:t>
            </w:r>
            <w:r>
              <w:rPr>
                <w:rFonts w:ascii="Arial" w:hAnsi="Arial" w:cs="Arial"/>
                <w:sz w:val="25"/>
                <w:szCs w:val="25"/>
              </w:rPr>
              <w:t xml:space="preserve">(MNS) </w:t>
            </w:r>
            <w:r w:rsidRPr="0002634B">
              <w:rPr>
                <w:rFonts w:ascii="Arial" w:hAnsi="Arial" w:cs="Arial"/>
                <w:sz w:val="25"/>
                <w:szCs w:val="25"/>
              </w:rPr>
              <w:t>Grant (£m)</w:t>
            </w:r>
          </w:p>
        </w:tc>
        <w:tc>
          <w:tcPr>
            <w:tcW w:w="1401" w:type="dxa"/>
          </w:tcPr>
          <w:p w:rsidRPr="002A2285" w:rsidR="00624AB0" w:rsidP="007A5BC7" w:rsidRDefault="00624AB0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2A2285">
              <w:rPr>
                <w:rFonts w:ascii="Arial" w:hAnsi="Arial" w:cs="Arial"/>
                <w:color w:val="000000"/>
                <w:sz w:val="25"/>
                <w:szCs w:val="25"/>
              </w:rPr>
              <w:t>1.1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78</w:t>
            </w:r>
          </w:p>
        </w:tc>
        <w:tc>
          <w:tcPr>
            <w:tcW w:w="1401" w:type="dxa"/>
          </w:tcPr>
          <w:p w:rsidRPr="007A5BC7" w:rsidR="00624AB0" w:rsidP="007A5BC7" w:rsidRDefault="00624AB0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1.178</w:t>
            </w:r>
          </w:p>
        </w:tc>
        <w:tc>
          <w:tcPr>
            <w:tcW w:w="742" w:type="dxa"/>
            <w:vAlign w:val="center"/>
          </w:tcPr>
          <w:p w:rsidRPr="00624AB0" w:rsidR="00624AB0" w:rsidP="00624AB0" w:rsidRDefault="00624AB0">
            <w:pPr>
              <w:ind w:right="-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4AB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  <w:tcBorders>
              <w:bottom w:val="single" w:color="auto" w:sz="4" w:space="0"/>
            </w:tcBorders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sz w:val="25"/>
                <w:szCs w:val="25"/>
              </w:rPr>
              <w:t>Total universal 3 &amp; 4 year old funding (£m)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6</w:t>
            </w: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633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  <w:t>27.739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  <w:shd w:val="pct20" w:color="auto" w:fill="auto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 xml:space="preserve">No. 3 &amp;4 year olds </w:t>
            </w:r>
            <w:r>
              <w:rPr>
                <w:rFonts w:ascii="Arial" w:hAnsi="Arial" w:cs="Arial"/>
                <w:sz w:val="25"/>
                <w:szCs w:val="25"/>
              </w:rPr>
              <w:t>–</w:t>
            </w:r>
            <w:r w:rsidRPr="0002634B">
              <w:rPr>
                <w:rFonts w:ascii="Arial" w:hAnsi="Arial" w:cs="Arial"/>
                <w:sz w:val="25"/>
                <w:szCs w:val="25"/>
              </w:rPr>
              <w:t xml:space="preserve"> </w:t>
            </w:r>
            <w:proofErr w:type="spellStart"/>
            <w:r w:rsidRPr="0002634B">
              <w:rPr>
                <w:rFonts w:ascii="Arial" w:hAnsi="Arial" w:cs="Arial"/>
                <w:sz w:val="25"/>
                <w:szCs w:val="25"/>
              </w:rPr>
              <w:t>add</w:t>
            </w:r>
            <w:r>
              <w:rPr>
                <w:rFonts w:ascii="Arial" w:hAnsi="Arial" w:cs="Arial"/>
                <w:sz w:val="25"/>
                <w:szCs w:val="25"/>
              </w:rPr>
              <w:t>’l</w:t>
            </w:r>
            <w:proofErr w:type="spellEnd"/>
            <w:r w:rsidRPr="0002634B">
              <w:rPr>
                <w:rFonts w:ascii="Arial" w:hAnsi="Arial" w:cs="Arial"/>
                <w:sz w:val="25"/>
                <w:szCs w:val="25"/>
              </w:rPr>
              <w:t xml:space="preserve"> 15 hours for working parents</w:t>
            </w:r>
            <w:r>
              <w:rPr>
                <w:rFonts w:ascii="Arial" w:hAnsi="Arial" w:cs="Arial"/>
                <w:sz w:val="25"/>
                <w:szCs w:val="25"/>
              </w:rPr>
              <w:t xml:space="preserve"> (PTE)</w:t>
            </w:r>
          </w:p>
        </w:tc>
        <w:tc>
          <w:tcPr>
            <w:tcW w:w="1401" w:type="dxa"/>
            <w:vAlign w:val="center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color w:val="000000"/>
                <w:sz w:val="25"/>
                <w:szCs w:val="25"/>
              </w:rPr>
              <w:t>3,730.66</w:t>
            </w:r>
          </w:p>
        </w:tc>
        <w:tc>
          <w:tcPr>
            <w:tcW w:w="1401" w:type="dxa"/>
            <w:vAlign w:val="center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4,341.60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>Add</w:t>
            </w:r>
            <w:r>
              <w:rPr>
                <w:rFonts w:ascii="Arial" w:hAnsi="Arial" w:cs="Arial"/>
                <w:sz w:val="25"/>
                <w:szCs w:val="25"/>
              </w:rPr>
              <w:t xml:space="preserve">itional </w:t>
            </w:r>
            <w:r w:rsidRPr="0002634B">
              <w:rPr>
                <w:rFonts w:ascii="Arial" w:hAnsi="Arial" w:cs="Arial"/>
                <w:sz w:val="25"/>
                <w:szCs w:val="25"/>
              </w:rPr>
              <w:t>entitlement</w:t>
            </w:r>
            <w:r>
              <w:rPr>
                <w:rFonts w:ascii="Arial" w:hAnsi="Arial" w:cs="Arial"/>
                <w:sz w:val="25"/>
                <w:szCs w:val="25"/>
              </w:rPr>
              <w:t xml:space="preserve"> - </w:t>
            </w:r>
            <w:r w:rsidRPr="0002634B">
              <w:rPr>
                <w:rFonts w:ascii="Arial" w:hAnsi="Arial" w:cs="Arial"/>
                <w:sz w:val="25"/>
                <w:szCs w:val="25"/>
              </w:rPr>
              <w:t>3 &amp; 4 year old hourly rate</w:t>
            </w:r>
          </w:p>
        </w:tc>
        <w:tc>
          <w:tcPr>
            <w:tcW w:w="1401" w:type="dxa"/>
            <w:vAlign w:val="center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£4.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40</w:t>
            </w: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0</w:t>
            </w:r>
          </w:p>
        </w:tc>
        <w:tc>
          <w:tcPr>
            <w:tcW w:w="1401" w:type="dxa"/>
            <w:vAlign w:val="center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£4.400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  <w:tcBorders>
              <w:bottom w:val="single" w:color="auto" w:sz="4" w:space="0"/>
            </w:tcBorders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sz w:val="25"/>
                <w:szCs w:val="25"/>
              </w:rPr>
              <w:t>Total additional hours funding (£m)</w:t>
            </w:r>
          </w:p>
        </w:tc>
        <w:tc>
          <w:tcPr>
            <w:tcW w:w="1401" w:type="dxa"/>
            <w:tcBorders>
              <w:bottom w:val="single" w:color="auto" w:sz="4" w:space="0"/>
            </w:tcBorders>
            <w:vAlign w:val="center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9.356</w:t>
            </w:r>
          </w:p>
        </w:tc>
        <w:tc>
          <w:tcPr>
            <w:tcW w:w="1401" w:type="dxa"/>
            <w:tcBorders>
              <w:bottom w:val="single" w:color="auto" w:sz="4" w:space="0"/>
            </w:tcBorders>
            <w:vAlign w:val="center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b/>
                <w:i/>
                <w:color w:val="000000"/>
                <w:sz w:val="25"/>
                <w:szCs w:val="25"/>
              </w:rPr>
              <w:t>10.889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  <w:shd w:val="pct20" w:color="auto" w:fill="auto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  <w:vAlign w:val="center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  <w:vAlign w:val="center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>Other Early Years allocations</w:t>
            </w:r>
            <w:r>
              <w:rPr>
                <w:rFonts w:ascii="Arial" w:hAnsi="Arial" w:cs="Arial"/>
                <w:sz w:val="25"/>
                <w:szCs w:val="25"/>
              </w:rPr>
              <w:t xml:space="preserve"> (assumed as per 2018-19)</w:t>
            </w:r>
            <w:r w:rsidRPr="0002634B">
              <w:rPr>
                <w:rFonts w:ascii="Arial" w:hAnsi="Arial" w:cs="Arial"/>
                <w:sz w:val="25"/>
                <w:szCs w:val="25"/>
              </w:rPr>
              <w:t>: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>Funding for disadvantaged 2 year olds (£m)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4.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840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4.840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 xml:space="preserve">Early Years Pupil Premium (£m) 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0.3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26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0.326</w:t>
            </w:r>
          </w:p>
        </w:tc>
      </w:tr>
      <w:tr w:rsidRPr="00624AB0" w:rsidR="007A5BC7" w:rsidTr="00624AB0">
        <w:trPr>
          <w:gridAfter w:val="1"/>
          <w:wAfter w:w="742" w:type="dxa"/>
        </w:trPr>
        <w:tc>
          <w:tcPr>
            <w:tcW w:w="7372" w:type="dxa"/>
          </w:tcPr>
          <w:p w:rsidRPr="0002634B" w:rsidR="007A5BC7" w:rsidP="007A5BC7" w:rsidRDefault="007A5BC7">
            <w:pPr>
              <w:ind w:left="34"/>
              <w:rPr>
                <w:rFonts w:ascii="Arial" w:hAnsi="Arial" w:cs="Arial"/>
                <w:sz w:val="25"/>
                <w:szCs w:val="25"/>
              </w:rPr>
            </w:pPr>
            <w:r w:rsidRPr="0002634B">
              <w:rPr>
                <w:rFonts w:ascii="Arial" w:hAnsi="Arial" w:cs="Arial"/>
                <w:sz w:val="25"/>
                <w:szCs w:val="25"/>
              </w:rPr>
              <w:t>Early Years Disability Access Fund (£m)</w:t>
            </w:r>
          </w:p>
        </w:tc>
        <w:tc>
          <w:tcPr>
            <w:tcW w:w="1401" w:type="dxa"/>
          </w:tcPr>
          <w:p w:rsidRPr="0002634B" w:rsidR="007A5BC7" w:rsidP="007A5BC7" w:rsidRDefault="007A5BC7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color w:val="000000"/>
                <w:sz w:val="25"/>
                <w:szCs w:val="25"/>
              </w:rPr>
              <w:t>0.1</w:t>
            </w:r>
            <w:r>
              <w:rPr>
                <w:rFonts w:ascii="Arial" w:hAnsi="Arial" w:cs="Arial"/>
                <w:color w:val="000000"/>
                <w:sz w:val="25"/>
                <w:szCs w:val="25"/>
              </w:rPr>
              <w:t>57</w:t>
            </w:r>
          </w:p>
        </w:tc>
        <w:tc>
          <w:tcPr>
            <w:tcW w:w="1401" w:type="dxa"/>
          </w:tcPr>
          <w:p w:rsidRPr="007A5BC7" w:rsidR="007A5BC7" w:rsidP="007A5BC7" w:rsidRDefault="007A5BC7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7A5BC7">
              <w:rPr>
                <w:rFonts w:ascii="Arial" w:hAnsi="Arial" w:cs="Arial"/>
                <w:i/>
                <w:color w:val="000000"/>
                <w:sz w:val="25"/>
                <w:szCs w:val="25"/>
              </w:rPr>
              <w:t>0.157</w:t>
            </w:r>
          </w:p>
        </w:tc>
      </w:tr>
      <w:tr w:rsidRPr="0002634B" w:rsidR="00624AB0" w:rsidTr="00624AB0">
        <w:tc>
          <w:tcPr>
            <w:tcW w:w="7372" w:type="dxa"/>
            <w:tcBorders>
              <w:bottom w:val="single" w:color="auto" w:sz="4" w:space="0"/>
            </w:tcBorders>
          </w:tcPr>
          <w:p w:rsidRPr="0002634B" w:rsidR="00624AB0" w:rsidP="00624AB0" w:rsidRDefault="00624AB0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proofErr w:type="spellStart"/>
            <w:r w:rsidRPr="0002634B">
              <w:rPr>
                <w:rFonts w:ascii="Arial" w:hAnsi="Arial" w:cs="Arial"/>
                <w:b/>
                <w:sz w:val="25"/>
                <w:szCs w:val="25"/>
              </w:rPr>
              <w:t>Sub total</w:t>
            </w:r>
            <w:proofErr w:type="spellEnd"/>
            <w:r w:rsidRPr="0002634B">
              <w:rPr>
                <w:rFonts w:ascii="Arial" w:hAnsi="Arial" w:cs="Arial"/>
                <w:b/>
                <w:sz w:val="25"/>
                <w:szCs w:val="25"/>
              </w:rPr>
              <w:t xml:space="preserve"> – Other EY allocations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Pr="0002634B" w:rsidR="00624AB0" w:rsidP="00624AB0" w:rsidRDefault="00624AB0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color w:val="000000"/>
                <w:sz w:val="25"/>
                <w:szCs w:val="25"/>
              </w:rPr>
              <w:t>5.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323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Pr="00624AB0" w:rsidR="00624AB0" w:rsidP="00624AB0" w:rsidRDefault="00624AB0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624AB0">
              <w:rPr>
                <w:rFonts w:ascii="Arial" w:hAnsi="Arial" w:cs="Arial"/>
                <w:i/>
                <w:color w:val="000000"/>
                <w:sz w:val="25"/>
                <w:szCs w:val="25"/>
              </w:rPr>
              <w:t>5.323</w:t>
            </w:r>
          </w:p>
        </w:tc>
        <w:tc>
          <w:tcPr>
            <w:tcW w:w="742" w:type="dxa"/>
            <w:tcBorders>
              <w:bottom w:val="single" w:color="auto" w:sz="4" w:space="0"/>
            </w:tcBorders>
            <w:vAlign w:val="center"/>
          </w:tcPr>
          <w:p w:rsidRPr="00624AB0" w:rsidR="00624AB0" w:rsidP="00624AB0" w:rsidRDefault="00624AB0">
            <w:pPr>
              <w:tabs>
                <w:tab w:val="center" w:pos="592"/>
                <w:tab w:val="right" w:pos="1185"/>
              </w:tabs>
              <w:ind w:right="-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4AB0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</w:tr>
      <w:tr w:rsidRPr="00624AB0" w:rsidR="00624AB0" w:rsidTr="00624AB0">
        <w:trPr>
          <w:gridAfter w:val="1"/>
          <w:wAfter w:w="742" w:type="dxa"/>
        </w:trPr>
        <w:tc>
          <w:tcPr>
            <w:tcW w:w="7372" w:type="dxa"/>
            <w:shd w:val="pct20" w:color="auto" w:fill="auto"/>
          </w:tcPr>
          <w:p w:rsidRPr="0002634B" w:rsidR="00624AB0" w:rsidP="00624AB0" w:rsidRDefault="00624AB0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</w:tcPr>
          <w:p w:rsidRPr="0002634B" w:rsidR="00624AB0" w:rsidP="00624AB0" w:rsidRDefault="00624AB0">
            <w:pPr>
              <w:jc w:val="right"/>
              <w:rPr>
                <w:rFonts w:ascii="Arial" w:hAnsi="Arial" w:cs="Arial"/>
                <w:color w:val="000000"/>
                <w:sz w:val="25"/>
                <w:szCs w:val="25"/>
              </w:rPr>
            </w:pPr>
          </w:p>
        </w:tc>
        <w:tc>
          <w:tcPr>
            <w:tcW w:w="1401" w:type="dxa"/>
            <w:shd w:val="pct20" w:color="auto" w:fill="auto"/>
          </w:tcPr>
          <w:p w:rsidRPr="007A5BC7" w:rsidR="00624AB0" w:rsidP="00624AB0" w:rsidRDefault="00624AB0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</w:p>
        </w:tc>
      </w:tr>
      <w:tr w:rsidRPr="0002634B" w:rsidR="00624AB0" w:rsidTr="00624AB0">
        <w:tc>
          <w:tcPr>
            <w:tcW w:w="7372" w:type="dxa"/>
          </w:tcPr>
          <w:p w:rsidRPr="0002634B" w:rsidR="00624AB0" w:rsidP="00624AB0" w:rsidRDefault="00624AB0">
            <w:pPr>
              <w:ind w:left="34"/>
              <w:rPr>
                <w:rFonts w:ascii="Arial" w:hAnsi="Arial" w:cs="Arial"/>
                <w:b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sz w:val="25"/>
                <w:szCs w:val="25"/>
              </w:rPr>
              <w:t>TOTAL EARLY YEARS BLOCK (£m)</w:t>
            </w:r>
          </w:p>
        </w:tc>
        <w:tc>
          <w:tcPr>
            <w:tcW w:w="1401" w:type="dxa"/>
          </w:tcPr>
          <w:p w:rsidRPr="0002634B" w:rsidR="00624AB0" w:rsidP="00624AB0" w:rsidRDefault="00624AB0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41.312</w:t>
            </w:r>
          </w:p>
        </w:tc>
        <w:tc>
          <w:tcPr>
            <w:tcW w:w="1401" w:type="dxa"/>
          </w:tcPr>
          <w:p w:rsidRPr="00624AB0" w:rsidR="00624AB0" w:rsidP="00624AB0" w:rsidRDefault="00624AB0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624AB0">
              <w:rPr>
                <w:rFonts w:ascii="Arial" w:hAnsi="Arial" w:cs="Arial"/>
                <w:i/>
                <w:color w:val="000000"/>
                <w:sz w:val="25"/>
                <w:szCs w:val="25"/>
              </w:rPr>
              <w:t>43.951</w:t>
            </w:r>
          </w:p>
        </w:tc>
        <w:tc>
          <w:tcPr>
            <w:tcW w:w="742" w:type="dxa"/>
            <w:vAlign w:val="center"/>
          </w:tcPr>
          <w:p w:rsidRPr="00624AB0" w:rsidR="00624AB0" w:rsidP="00624AB0" w:rsidRDefault="00624AB0">
            <w:pPr>
              <w:tabs>
                <w:tab w:val="center" w:pos="592"/>
                <w:tab w:val="right" w:pos="1185"/>
              </w:tabs>
              <w:ind w:right="-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4AB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</w:tr>
      <w:tr w:rsidRPr="0002634B" w:rsidR="00624AB0" w:rsidTr="00624AB0">
        <w:tc>
          <w:tcPr>
            <w:tcW w:w="7372" w:type="dxa"/>
            <w:tcBorders>
              <w:bottom w:val="single" w:color="auto" w:sz="4" w:space="0"/>
            </w:tcBorders>
          </w:tcPr>
          <w:p w:rsidRPr="0002634B" w:rsidR="00624AB0" w:rsidP="00624AB0" w:rsidRDefault="00624AB0">
            <w:pPr>
              <w:ind w:left="34" w:right="-108"/>
              <w:rPr>
                <w:rFonts w:ascii="Arial" w:hAnsi="Arial" w:cs="Arial"/>
                <w:b/>
                <w:sz w:val="25"/>
                <w:szCs w:val="25"/>
              </w:rPr>
            </w:pPr>
            <w:r w:rsidRPr="0002634B">
              <w:rPr>
                <w:rFonts w:ascii="Arial" w:hAnsi="Arial" w:cs="Arial"/>
                <w:b/>
                <w:sz w:val="25"/>
                <w:szCs w:val="25"/>
              </w:rPr>
              <w:t xml:space="preserve">TOTAL </w:t>
            </w:r>
            <w:r>
              <w:rPr>
                <w:rFonts w:ascii="Arial" w:hAnsi="Arial" w:cs="Arial"/>
                <w:b/>
                <w:sz w:val="25"/>
                <w:szCs w:val="25"/>
              </w:rPr>
              <w:t>ex. Other EY allocations/MNS (for pass-porting test)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="00624AB0" w:rsidP="00624AB0" w:rsidRDefault="00624AB0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34.811</w:t>
            </w:r>
          </w:p>
        </w:tc>
        <w:tc>
          <w:tcPr>
            <w:tcW w:w="1401" w:type="dxa"/>
            <w:tcBorders>
              <w:bottom w:val="single" w:color="auto" w:sz="4" w:space="0"/>
            </w:tcBorders>
          </w:tcPr>
          <w:p w:rsidRPr="00624AB0" w:rsidR="00624AB0" w:rsidP="00624AB0" w:rsidRDefault="00624AB0">
            <w:pPr>
              <w:jc w:val="right"/>
              <w:rPr>
                <w:rFonts w:ascii="Arial" w:hAnsi="Arial" w:cs="Arial"/>
                <w:i/>
                <w:color w:val="000000"/>
                <w:sz w:val="25"/>
                <w:szCs w:val="25"/>
              </w:rPr>
            </w:pPr>
            <w:r w:rsidRPr="00624AB0">
              <w:rPr>
                <w:rFonts w:ascii="Arial" w:hAnsi="Arial" w:cs="Arial"/>
                <w:i/>
                <w:color w:val="000000"/>
                <w:sz w:val="25"/>
                <w:szCs w:val="25"/>
              </w:rPr>
              <w:t>37.450</w:t>
            </w:r>
          </w:p>
        </w:tc>
        <w:tc>
          <w:tcPr>
            <w:tcW w:w="742" w:type="dxa"/>
            <w:tcBorders>
              <w:bottom w:val="single" w:color="auto" w:sz="4" w:space="0"/>
            </w:tcBorders>
            <w:vAlign w:val="center"/>
          </w:tcPr>
          <w:p w:rsidRPr="00624AB0" w:rsidR="00624AB0" w:rsidP="00624AB0" w:rsidRDefault="00624AB0">
            <w:pPr>
              <w:tabs>
                <w:tab w:val="right" w:pos="1185"/>
              </w:tabs>
              <w:ind w:right="-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4AB0">
              <w:rPr>
                <w:rFonts w:ascii="Arial" w:hAnsi="Arial" w:cs="Arial"/>
                <w:color w:val="000000"/>
                <w:sz w:val="18"/>
                <w:szCs w:val="18"/>
              </w:rPr>
              <w:t>=c-b-a</w:t>
            </w:r>
          </w:p>
        </w:tc>
      </w:tr>
    </w:tbl>
    <w:p w:rsidR="001C7E26" w:rsidP="009D3D0C" w:rsidRDefault="001C7E26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The following points</w:t>
      </w:r>
      <w:r w:rsidR="008F524B">
        <w:rPr>
          <w:rFonts w:ascii="Arial" w:hAnsi="Arial" w:cs="Arial"/>
          <w:sz w:val="26"/>
          <w:szCs w:val="26"/>
        </w:rPr>
        <w:t xml:space="preserve">/assumptions </w:t>
      </w:r>
      <w:r w:rsidR="00FD54EE">
        <w:rPr>
          <w:rFonts w:ascii="Arial" w:hAnsi="Arial" w:cs="Arial"/>
          <w:sz w:val="26"/>
          <w:szCs w:val="26"/>
        </w:rPr>
        <w:t xml:space="preserve">regarding Table 1 </w:t>
      </w:r>
      <w:r>
        <w:rPr>
          <w:rFonts w:ascii="Arial" w:hAnsi="Arial" w:cs="Arial"/>
          <w:sz w:val="26"/>
          <w:szCs w:val="26"/>
        </w:rPr>
        <w:t>are worth noting:</w:t>
      </w:r>
    </w:p>
    <w:p w:rsidR="001C7E26" w:rsidP="009D3D0C" w:rsidRDefault="001C7E26">
      <w:pPr>
        <w:ind w:left="284"/>
        <w:rPr>
          <w:rFonts w:ascii="Arial" w:hAnsi="Arial" w:cs="Arial"/>
          <w:sz w:val="26"/>
          <w:szCs w:val="26"/>
        </w:rPr>
      </w:pPr>
    </w:p>
    <w:p w:rsidR="001A677B" w:rsidP="001A677B" w:rsidRDefault="00B31056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EF6230">
        <w:rPr>
          <w:rFonts w:ascii="Arial" w:hAnsi="Arial" w:cs="Arial"/>
          <w:sz w:val="26"/>
          <w:szCs w:val="26"/>
        </w:rPr>
        <w:t xml:space="preserve">estimated </w:t>
      </w:r>
      <w:r>
        <w:rPr>
          <w:rFonts w:ascii="Arial" w:hAnsi="Arial" w:cs="Arial"/>
          <w:sz w:val="26"/>
          <w:szCs w:val="26"/>
        </w:rPr>
        <w:t xml:space="preserve">year on year reduction in </w:t>
      </w:r>
      <w:r w:rsidR="00EF6230">
        <w:rPr>
          <w:rFonts w:ascii="Arial" w:hAnsi="Arial" w:cs="Arial"/>
          <w:sz w:val="26"/>
          <w:szCs w:val="26"/>
        </w:rPr>
        <w:t xml:space="preserve">total funding (£2.639m) is due to the </w:t>
      </w:r>
      <w:r w:rsidR="00FD54EE">
        <w:rPr>
          <w:rFonts w:ascii="Arial" w:hAnsi="Arial" w:cs="Arial"/>
          <w:sz w:val="26"/>
          <w:szCs w:val="26"/>
        </w:rPr>
        <w:t xml:space="preserve">lower </w:t>
      </w:r>
      <w:r w:rsidR="00EF6230">
        <w:rPr>
          <w:rFonts w:ascii="Arial" w:hAnsi="Arial" w:cs="Arial"/>
          <w:sz w:val="26"/>
          <w:szCs w:val="26"/>
        </w:rPr>
        <w:t>number of universal and additional hours</w:t>
      </w:r>
      <w:r w:rsidR="00FD54EE">
        <w:rPr>
          <w:rFonts w:ascii="Arial" w:hAnsi="Arial" w:cs="Arial"/>
          <w:sz w:val="26"/>
          <w:szCs w:val="26"/>
        </w:rPr>
        <w:t xml:space="preserve"> of provision</w:t>
      </w:r>
      <w:r w:rsidR="001A677B">
        <w:rPr>
          <w:rFonts w:ascii="Arial" w:hAnsi="Arial" w:cs="Arial"/>
          <w:sz w:val="26"/>
          <w:szCs w:val="26"/>
        </w:rPr>
        <w:t>.  N.B. T</w:t>
      </w:r>
      <w:r w:rsidRPr="004B0B07" w:rsidR="001A677B">
        <w:rPr>
          <w:rFonts w:ascii="Arial" w:hAnsi="Arial" w:cs="Arial"/>
          <w:sz w:val="26"/>
          <w:szCs w:val="26"/>
        </w:rPr>
        <w:t xml:space="preserve">he </w:t>
      </w:r>
      <w:r w:rsidRPr="000B25BD" w:rsidR="001A677B">
        <w:rPr>
          <w:rFonts w:ascii="Arial" w:hAnsi="Arial" w:cs="Arial"/>
          <w:sz w:val="26"/>
          <w:szCs w:val="26"/>
          <w:u w:val="single"/>
        </w:rPr>
        <w:t>actual</w:t>
      </w:r>
      <w:r w:rsidRPr="004B0B07" w:rsidR="001A677B">
        <w:rPr>
          <w:rFonts w:ascii="Arial" w:hAnsi="Arial" w:cs="Arial"/>
          <w:sz w:val="26"/>
          <w:szCs w:val="26"/>
        </w:rPr>
        <w:t xml:space="preserve"> allocations will be based on a combination of January 201</w:t>
      </w:r>
      <w:r w:rsidR="001A677B">
        <w:rPr>
          <w:rFonts w:ascii="Arial" w:hAnsi="Arial" w:cs="Arial"/>
          <w:sz w:val="26"/>
          <w:szCs w:val="26"/>
        </w:rPr>
        <w:t>9</w:t>
      </w:r>
      <w:r w:rsidRPr="004B0B07" w:rsidR="001A677B">
        <w:rPr>
          <w:rFonts w:ascii="Arial" w:hAnsi="Arial" w:cs="Arial"/>
          <w:sz w:val="26"/>
          <w:szCs w:val="26"/>
        </w:rPr>
        <w:t xml:space="preserve"> (5/12</w:t>
      </w:r>
      <w:r w:rsidRPr="004B0B07" w:rsidR="001A677B">
        <w:rPr>
          <w:rFonts w:ascii="Arial" w:hAnsi="Arial" w:cs="Arial"/>
          <w:sz w:val="26"/>
          <w:szCs w:val="26"/>
          <w:vertAlign w:val="superscript"/>
        </w:rPr>
        <w:t>ths</w:t>
      </w:r>
      <w:r w:rsidRPr="004B0B07" w:rsidR="001A677B">
        <w:rPr>
          <w:rFonts w:ascii="Arial" w:hAnsi="Arial" w:cs="Arial"/>
          <w:sz w:val="26"/>
          <w:szCs w:val="26"/>
        </w:rPr>
        <w:t>) and January 20</w:t>
      </w:r>
      <w:r w:rsidR="001A677B">
        <w:rPr>
          <w:rFonts w:ascii="Arial" w:hAnsi="Arial" w:cs="Arial"/>
          <w:sz w:val="26"/>
          <w:szCs w:val="26"/>
        </w:rPr>
        <w:t>20</w:t>
      </w:r>
      <w:r w:rsidRPr="004B0B07" w:rsidR="001A677B">
        <w:rPr>
          <w:rFonts w:ascii="Arial" w:hAnsi="Arial" w:cs="Arial"/>
          <w:sz w:val="26"/>
          <w:szCs w:val="26"/>
        </w:rPr>
        <w:t xml:space="preserve"> (7/12</w:t>
      </w:r>
      <w:r w:rsidRPr="004B0B07" w:rsidR="001A677B">
        <w:rPr>
          <w:rFonts w:ascii="Arial" w:hAnsi="Arial" w:cs="Arial"/>
          <w:sz w:val="26"/>
          <w:szCs w:val="26"/>
          <w:vertAlign w:val="superscript"/>
        </w:rPr>
        <w:t>ths</w:t>
      </w:r>
      <w:r w:rsidRPr="004B0B07" w:rsidR="001A677B">
        <w:rPr>
          <w:rFonts w:ascii="Arial" w:hAnsi="Arial" w:cs="Arial"/>
          <w:sz w:val="26"/>
          <w:szCs w:val="26"/>
        </w:rPr>
        <w:t>) census information.</w:t>
      </w:r>
      <w:r w:rsidR="001A677B">
        <w:rPr>
          <w:rFonts w:ascii="Arial" w:hAnsi="Arial" w:cs="Arial"/>
          <w:sz w:val="26"/>
          <w:szCs w:val="26"/>
        </w:rPr>
        <w:t xml:space="preserve"> </w:t>
      </w:r>
    </w:p>
    <w:p w:rsidRPr="00EF6230" w:rsidR="00EF6230" w:rsidP="00EF6230" w:rsidRDefault="00EF6230">
      <w:pPr>
        <w:pStyle w:val="ListParagraph"/>
        <w:ind w:left="1004"/>
        <w:rPr>
          <w:rFonts w:ascii="Arial" w:hAnsi="Arial" w:cs="Arial"/>
          <w:sz w:val="22"/>
          <w:szCs w:val="26"/>
        </w:rPr>
      </w:pPr>
    </w:p>
    <w:p w:rsidR="001C7E26" w:rsidP="001C7E26" w:rsidRDefault="001C7E26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 w:rsidRPr="001C7E26">
        <w:rPr>
          <w:rFonts w:ascii="Arial" w:hAnsi="Arial" w:cs="Arial"/>
          <w:sz w:val="26"/>
          <w:szCs w:val="26"/>
        </w:rPr>
        <w:t xml:space="preserve">Derbyshire’s funding rate per hour </w:t>
      </w:r>
      <w:r w:rsidR="003B0486">
        <w:rPr>
          <w:rFonts w:ascii="Arial" w:hAnsi="Arial" w:cs="Arial"/>
          <w:sz w:val="26"/>
          <w:szCs w:val="26"/>
        </w:rPr>
        <w:t xml:space="preserve">for the </w:t>
      </w:r>
      <w:r w:rsidR="00FD54EE">
        <w:rPr>
          <w:rFonts w:ascii="Arial" w:hAnsi="Arial" w:cs="Arial"/>
          <w:sz w:val="26"/>
          <w:szCs w:val="26"/>
        </w:rPr>
        <w:t xml:space="preserve">both the </w:t>
      </w:r>
      <w:r w:rsidR="003B0486">
        <w:rPr>
          <w:rFonts w:ascii="Arial" w:hAnsi="Arial" w:cs="Arial"/>
          <w:sz w:val="26"/>
          <w:szCs w:val="26"/>
        </w:rPr>
        <w:t xml:space="preserve">universal </w:t>
      </w:r>
      <w:r w:rsidR="00FD54EE">
        <w:rPr>
          <w:rFonts w:ascii="Arial" w:hAnsi="Arial" w:cs="Arial"/>
          <w:sz w:val="26"/>
          <w:szCs w:val="26"/>
        </w:rPr>
        <w:t xml:space="preserve">and additional hours </w:t>
      </w:r>
      <w:r w:rsidR="003B0486">
        <w:rPr>
          <w:rFonts w:ascii="Arial" w:hAnsi="Arial" w:cs="Arial"/>
          <w:sz w:val="26"/>
          <w:szCs w:val="26"/>
        </w:rPr>
        <w:t xml:space="preserve">provision for 3 and 4 year olds </w:t>
      </w:r>
      <w:r w:rsidR="007A5BC7">
        <w:rPr>
          <w:rFonts w:ascii="Arial" w:hAnsi="Arial" w:cs="Arial"/>
          <w:sz w:val="26"/>
          <w:szCs w:val="26"/>
        </w:rPr>
        <w:t xml:space="preserve">is unchanged at </w:t>
      </w:r>
      <w:r w:rsidRPr="001C7E26">
        <w:rPr>
          <w:rFonts w:ascii="Arial" w:hAnsi="Arial" w:cs="Arial"/>
          <w:sz w:val="26"/>
          <w:szCs w:val="26"/>
        </w:rPr>
        <w:t>£4.</w:t>
      </w:r>
      <w:r w:rsidR="00592F3C">
        <w:rPr>
          <w:rFonts w:ascii="Arial" w:hAnsi="Arial" w:cs="Arial"/>
          <w:sz w:val="26"/>
          <w:szCs w:val="26"/>
        </w:rPr>
        <w:t>40</w:t>
      </w:r>
      <w:r w:rsidR="007A5BC7">
        <w:rPr>
          <w:rFonts w:ascii="Arial" w:hAnsi="Arial" w:cs="Arial"/>
          <w:sz w:val="26"/>
          <w:szCs w:val="26"/>
        </w:rPr>
        <w:t>;</w:t>
      </w:r>
    </w:p>
    <w:p w:rsidRPr="007A339C" w:rsidR="001C7E26" w:rsidP="001C7E26" w:rsidRDefault="001C7E26">
      <w:pPr>
        <w:pStyle w:val="ListParagraph"/>
        <w:ind w:left="1004"/>
        <w:rPr>
          <w:rFonts w:ascii="Arial" w:hAnsi="Arial" w:cs="Arial"/>
          <w:sz w:val="22"/>
          <w:szCs w:val="26"/>
        </w:rPr>
      </w:pPr>
    </w:p>
    <w:p w:rsidR="001C7E26" w:rsidP="001C7E26" w:rsidRDefault="001C7E26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Derbyshire’</w:t>
      </w:r>
      <w:r w:rsidR="000B64CA">
        <w:rPr>
          <w:rFonts w:ascii="Arial" w:hAnsi="Arial" w:cs="Arial"/>
          <w:sz w:val="26"/>
          <w:szCs w:val="26"/>
        </w:rPr>
        <w:t xml:space="preserve">s rate is </w:t>
      </w:r>
      <w:r w:rsidRPr="009F5F7D" w:rsidR="00F26C62">
        <w:rPr>
          <w:rFonts w:ascii="Arial" w:hAnsi="Arial" w:cs="Arial"/>
          <w:sz w:val="26"/>
          <w:szCs w:val="26"/>
        </w:rPr>
        <w:t xml:space="preserve">still </w:t>
      </w:r>
      <w:r w:rsidRPr="009F5F7D" w:rsidR="000B64CA">
        <w:rPr>
          <w:rFonts w:ascii="Arial" w:hAnsi="Arial" w:cs="Arial"/>
          <w:sz w:val="26"/>
          <w:szCs w:val="26"/>
        </w:rPr>
        <w:t>p</w:t>
      </w:r>
      <w:r w:rsidR="000B64CA">
        <w:rPr>
          <w:rFonts w:ascii="Arial" w:hAnsi="Arial" w:cs="Arial"/>
          <w:sz w:val="26"/>
          <w:szCs w:val="26"/>
        </w:rPr>
        <w:t>rotected</w:t>
      </w:r>
      <w:r w:rsidR="004C35CE">
        <w:rPr>
          <w:rFonts w:ascii="Arial" w:hAnsi="Arial" w:cs="Arial"/>
          <w:sz w:val="26"/>
          <w:szCs w:val="26"/>
        </w:rPr>
        <w:t xml:space="preserve">, </w:t>
      </w:r>
      <w:r w:rsidR="000B64CA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“pure” national funding rate is </w:t>
      </w:r>
      <w:r w:rsidR="008F524B">
        <w:rPr>
          <w:rFonts w:ascii="Arial" w:hAnsi="Arial" w:cs="Arial"/>
          <w:sz w:val="26"/>
          <w:szCs w:val="26"/>
        </w:rPr>
        <w:t>~</w:t>
      </w:r>
      <w:r>
        <w:rPr>
          <w:rFonts w:ascii="Arial" w:hAnsi="Arial" w:cs="Arial"/>
          <w:sz w:val="26"/>
          <w:szCs w:val="26"/>
        </w:rPr>
        <w:t>£4.17 per hour</w:t>
      </w:r>
      <w:r w:rsidR="008F35E3">
        <w:rPr>
          <w:rFonts w:ascii="Arial" w:hAnsi="Arial" w:cs="Arial"/>
          <w:sz w:val="26"/>
          <w:szCs w:val="26"/>
        </w:rPr>
        <w:t>;</w:t>
      </w:r>
    </w:p>
    <w:p w:rsidRPr="007A339C" w:rsidR="009A6D76" w:rsidP="009A6D76" w:rsidRDefault="009A6D76">
      <w:pPr>
        <w:pStyle w:val="ListParagraph"/>
        <w:rPr>
          <w:rFonts w:ascii="Arial" w:hAnsi="Arial" w:cs="Arial"/>
          <w:sz w:val="22"/>
          <w:szCs w:val="26"/>
        </w:rPr>
      </w:pPr>
    </w:p>
    <w:p w:rsidR="000B25BD" w:rsidP="001C7E26" w:rsidRDefault="009A6D76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Pr="000B25BD" w:rsidR="008F524B">
        <w:rPr>
          <w:rFonts w:ascii="Arial" w:hAnsi="Arial" w:cs="Arial"/>
          <w:sz w:val="26"/>
          <w:szCs w:val="26"/>
          <w:u w:val="single"/>
        </w:rPr>
        <w:t>estimated</w:t>
      </w:r>
      <w:r w:rsidR="008F524B">
        <w:rPr>
          <w:rFonts w:ascii="Arial" w:hAnsi="Arial" w:cs="Arial"/>
          <w:sz w:val="26"/>
          <w:szCs w:val="26"/>
        </w:rPr>
        <w:t xml:space="preserve"> 2019-20 </w:t>
      </w:r>
      <w:r w:rsidRPr="009F5F7D">
        <w:rPr>
          <w:rFonts w:ascii="Arial" w:hAnsi="Arial" w:cs="Arial"/>
          <w:sz w:val="26"/>
          <w:szCs w:val="26"/>
        </w:rPr>
        <w:t>q</w:t>
      </w:r>
      <w:r>
        <w:rPr>
          <w:rFonts w:ascii="Arial" w:hAnsi="Arial" w:cs="Arial"/>
          <w:sz w:val="26"/>
          <w:szCs w:val="26"/>
        </w:rPr>
        <w:t>uantum is based on January 2</w:t>
      </w:r>
      <w:r w:rsidRPr="004B0B07">
        <w:rPr>
          <w:rFonts w:ascii="Arial" w:hAnsi="Arial" w:cs="Arial"/>
          <w:sz w:val="26"/>
          <w:szCs w:val="26"/>
        </w:rPr>
        <w:t>01</w:t>
      </w:r>
      <w:r w:rsidR="007A5BC7">
        <w:rPr>
          <w:rFonts w:ascii="Arial" w:hAnsi="Arial" w:cs="Arial"/>
          <w:sz w:val="26"/>
          <w:szCs w:val="26"/>
        </w:rPr>
        <w:t>8</w:t>
      </w:r>
      <w:r w:rsidR="000B25BD">
        <w:rPr>
          <w:rFonts w:ascii="Arial" w:hAnsi="Arial" w:cs="Arial"/>
          <w:sz w:val="26"/>
          <w:szCs w:val="26"/>
        </w:rPr>
        <w:t xml:space="preserve"> census data – which the DfE will use when they make their announcements in December. </w:t>
      </w:r>
    </w:p>
    <w:p w:rsidRPr="007A339C" w:rsidR="001C7E26" w:rsidP="001C7E26" w:rsidRDefault="001C7E26">
      <w:pPr>
        <w:pStyle w:val="ListParagraph"/>
        <w:rPr>
          <w:rFonts w:ascii="Arial" w:hAnsi="Arial" w:cs="Arial"/>
          <w:sz w:val="22"/>
          <w:szCs w:val="26"/>
        </w:rPr>
      </w:pPr>
    </w:p>
    <w:p w:rsidR="001C7E26" w:rsidP="001C7E26" w:rsidRDefault="001C7E26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Derbyshire receive</w:t>
      </w:r>
      <w:r w:rsidR="008F524B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</w:t>
      </w:r>
      <w:r w:rsidR="007A5BC7">
        <w:rPr>
          <w:rFonts w:ascii="Arial" w:hAnsi="Arial" w:cs="Arial"/>
          <w:sz w:val="26"/>
          <w:szCs w:val="26"/>
        </w:rPr>
        <w:t>~</w:t>
      </w:r>
      <w:r>
        <w:rPr>
          <w:rFonts w:ascii="Arial" w:hAnsi="Arial" w:cs="Arial"/>
          <w:sz w:val="26"/>
          <w:szCs w:val="26"/>
        </w:rPr>
        <w:t>£1.1</w:t>
      </w:r>
      <w:r w:rsidR="00592F3C">
        <w:rPr>
          <w:rFonts w:ascii="Arial" w:hAnsi="Arial" w:cs="Arial"/>
          <w:sz w:val="26"/>
          <w:szCs w:val="26"/>
        </w:rPr>
        <w:t>78m</w:t>
      </w:r>
      <w:r>
        <w:rPr>
          <w:rFonts w:ascii="Arial" w:hAnsi="Arial" w:cs="Arial"/>
          <w:sz w:val="26"/>
          <w:szCs w:val="26"/>
        </w:rPr>
        <w:t xml:space="preserve"> </w:t>
      </w:r>
      <w:r w:rsidR="003B0486">
        <w:rPr>
          <w:rFonts w:ascii="Arial" w:hAnsi="Arial" w:cs="Arial"/>
          <w:sz w:val="26"/>
          <w:szCs w:val="26"/>
        </w:rPr>
        <w:t>as a Maintained Nursery Schools</w:t>
      </w:r>
      <w:r w:rsidR="008C0CC4">
        <w:rPr>
          <w:rFonts w:ascii="Arial" w:hAnsi="Arial" w:cs="Arial"/>
          <w:sz w:val="26"/>
          <w:szCs w:val="26"/>
        </w:rPr>
        <w:t xml:space="preserve"> (MNS) </w:t>
      </w:r>
      <w:r w:rsidR="003B0486">
        <w:rPr>
          <w:rFonts w:ascii="Arial" w:hAnsi="Arial" w:cs="Arial"/>
          <w:sz w:val="26"/>
          <w:szCs w:val="26"/>
        </w:rPr>
        <w:t xml:space="preserve">grant </w:t>
      </w:r>
      <w:r>
        <w:rPr>
          <w:rFonts w:ascii="Arial" w:hAnsi="Arial" w:cs="Arial"/>
          <w:sz w:val="26"/>
          <w:szCs w:val="26"/>
        </w:rPr>
        <w:t>to support its nursery schools</w:t>
      </w:r>
      <w:r w:rsidR="008F35E3">
        <w:rPr>
          <w:rFonts w:ascii="Arial" w:hAnsi="Arial" w:cs="Arial"/>
          <w:sz w:val="26"/>
          <w:szCs w:val="26"/>
        </w:rPr>
        <w:t>;</w:t>
      </w:r>
      <w:r w:rsidR="00FD54EE">
        <w:rPr>
          <w:rFonts w:ascii="Arial" w:hAnsi="Arial" w:cs="Arial"/>
          <w:sz w:val="26"/>
          <w:szCs w:val="26"/>
        </w:rPr>
        <w:t xml:space="preserve"> and</w:t>
      </w:r>
    </w:p>
    <w:p w:rsidRPr="007A339C" w:rsidR="001C7E26" w:rsidP="001C7E26" w:rsidRDefault="001C7E26">
      <w:pPr>
        <w:pStyle w:val="ListParagraph"/>
        <w:rPr>
          <w:rFonts w:ascii="Arial" w:hAnsi="Arial" w:cs="Arial"/>
          <w:sz w:val="22"/>
          <w:szCs w:val="26"/>
        </w:rPr>
      </w:pPr>
    </w:p>
    <w:p w:rsidRPr="007A5BC7" w:rsidR="00862F09" w:rsidP="00D50AEF" w:rsidRDefault="00862F09">
      <w:pPr>
        <w:pStyle w:val="ListParagraph"/>
        <w:numPr>
          <w:ilvl w:val="0"/>
          <w:numId w:val="37"/>
        </w:numPr>
        <w:rPr>
          <w:rFonts w:ascii="Arial" w:hAnsi="Arial" w:cs="Arial"/>
          <w:sz w:val="26"/>
          <w:szCs w:val="26"/>
        </w:rPr>
      </w:pPr>
      <w:r w:rsidRPr="007A5BC7">
        <w:rPr>
          <w:rFonts w:ascii="Arial" w:hAnsi="Arial" w:cs="Arial"/>
          <w:sz w:val="26"/>
          <w:szCs w:val="26"/>
        </w:rPr>
        <w:t xml:space="preserve">The </w:t>
      </w:r>
      <w:r w:rsidRPr="007A5BC7" w:rsidR="007A5BC7">
        <w:rPr>
          <w:rFonts w:ascii="Arial" w:hAnsi="Arial" w:cs="Arial"/>
          <w:sz w:val="26"/>
          <w:szCs w:val="26"/>
        </w:rPr>
        <w:t xml:space="preserve">2019-20 figures assume that the </w:t>
      </w:r>
      <w:r w:rsidRPr="007A5BC7">
        <w:rPr>
          <w:rFonts w:ascii="Arial" w:hAnsi="Arial" w:cs="Arial"/>
          <w:sz w:val="26"/>
          <w:szCs w:val="26"/>
        </w:rPr>
        <w:t>settlement</w:t>
      </w:r>
      <w:r w:rsidRPr="007A5BC7" w:rsidR="007A5BC7">
        <w:rPr>
          <w:rFonts w:ascii="Arial" w:hAnsi="Arial" w:cs="Arial"/>
          <w:sz w:val="26"/>
          <w:szCs w:val="26"/>
        </w:rPr>
        <w:t xml:space="preserve">s for </w:t>
      </w:r>
      <w:r w:rsidRPr="007A5BC7">
        <w:rPr>
          <w:rFonts w:ascii="Arial" w:hAnsi="Arial" w:cs="Arial"/>
          <w:sz w:val="26"/>
          <w:szCs w:val="26"/>
        </w:rPr>
        <w:t>Disability Access Funding</w:t>
      </w:r>
      <w:r w:rsidRPr="007A5BC7" w:rsidR="007A5BC7">
        <w:rPr>
          <w:rFonts w:ascii="Arial" w:hAnsi="Arial" w:cs="Arial"/>
          <w:sz w:val="26"/>
          <w:szCs w:val="26"/>
        </w:rPr>
        <w:t xml:space="preserve">, </w:t>
      </w:r>
      <w:r w:rsidRPr="007A5BC7" w:rsidR="00952411">
        <w:rPr>
          <w:rFonts w:ascii="Arial" w:hAnsi="Arial" w:cs="Arial"/>
          <w:sz w:val="26"/>
          <w:szCs w:val="26"/>
        </w:rPr>
        <w:t xml:space="preserve">disadvantaged two year olds </w:t>
      </w:r>
      <w:r w:rsidRPr="007A5BC7" w:rsidR="007A5BC7">
        <w:rPr>
          <w:rFonts w:ascii="Arial" w:hAnsi="Arial" w:cs="Arial"/>
          <w:sz w:val="26"/>
          <w:szCs w:val="26"/>
        </w:rPr>
        <w:t xml:space="preserve">and </w:t>
      </w:r>
      <w:r w:rsidRPr="007A5BC7">
        <w:rPr>
          <w:rFonts w:ascii="Arial" w:hAnsi="Arial" w:cs="Arial"/>
          <w:sz w:val="26"/>
          <w:szCs w:val="26"/>
        </w:rPr>
        <w:t>Pupil Premium Grant</w:t>
      </w:r>
      <w:r w:rsidRPr="007A5BC7" w:rsidR="003B0486">
        <w:rPr>
          <w:rFonts w:ascii="Arial" w:hAnsi="Arial" w:cs="Arial"/>
          <w:sz w:val="26"/>
          <w:szCs w:val="26"/>
        </w:rPr>
        <w:t xml:space="preserve"> </w:t>
      </w:r>
      <w:r w:rsidRPr="007A5BC7" w:rsidR="00831BD7">
        <w:rPr>
          <w:rFonts w:ascii="Arial" w:hAnsi="Arial" w:cs="Arial"/>
          <w:sz w:val="26"/>
          <w:szCs w:val="26"/>
        </w:rPr>
        <w:t xml:space="preserve">allocations remain </w:t>
      </w:r>
      <w:r w:rsidR="007A5BC7">
        <w:rPr>
          <w:rFonts w:ascii="Arial" w:hAnsi="Arial" w:cs="Arial"/>
          <w:sz w:val="26"/>
          <w:szCs w:val="26"/>
        </w:rPr>
        <w:t xml:space="preserve">the same </w:t>
      </w:r>
      <w:r w:rsidRPr="007A5BC7" w:rsidR="00831BD7">
        <w:rPr>
          <w:rFonts w:ascii="Arial" w:hAnsi="Arial" w:cs="Arial"/>
          <w:sz w:val="26"/>
          <w:szCs w:val="26"/>
        </w:rPr>
        <w:t>as for 201</w:t>
      </w:r>
      <w:r w:rsidR="007A5BC7">
        <w:rPr>
          <w:rFonts w:ascii="Arial" w:hAnsi="Arial" w:cs="Arial"/>
          <w:sz w:val="26"/>
          <w:szCs w:val="26"/>
        </w:rPr>
        <w:t>8-19.</w:t>
      </w:r>
    </w:p>
    <w:p w:rsidR="00831BD7" w:rsidP="00831BD7" w:rsidRDefault="00831BD7">
      <w:pPr>
        <w:pStyle w:val="ListParagraph"/>
        <w:ind w:left="1004"/>
        <w:rPr>
          <w:rFonts w:ascii="Arial" w:hAnsi="Arial" w:cs="Arial"/>
          <w:sz w:val="26"/>
          <w:szCs w:val="26"/>
        </w:rPr>
      </w:pPr>
    </w:p>
    <w:p w:rsidRPr="003B0486" w:rsidR="00862F09" w:rsidP="001B0BAC" w:rsidRDefault="003B0486">
      <w:pPr>
        <w:ind w:left="1134" w:hanging="850"/>
        <w:rPr>
          <w:rFonts w:ascii="Arial" w:hAnsi="Arial" w:cs="Arial"/>
          <w:b/>
          <w:sz w:val="26"/>
          <w:szCs w:val="26"/>
        </w:rPr>
      </w:pPr>
      <w:r w:rsidRPr="003B0486">
        <w:rPr>
          <w:rFonts w:ascii="Arial" w:hAnsi="Arial" w:cs="Arial"/>
          <w:b/>
          <w:sz w:val="26"/>
          <w:szCs w:val="26"/>
        </w:rPr>
        <w:t>2.2</w:t>
      </w:r>
      <w:r w:rsidRPr="003B0486">
        <w:rPr>
          <w:rFonts w:ascii="Arial" w:hAnsi="Arial" w:cs="Arial"/>
          <w:b/>
          <w:sz w:val="26"/>
          <w:szCs w:val="26"/>
        </w:rPr>
        <w:tab/>
      </w:r>
      <w:r w:rsidRPr="001B0BAC" w:rsidR="004E521A">
        <w:rPr>
          <w:rFonts w:ascii="Arial" w:hAnsi="Arial" w:cs="Arial"/>
          <w:b/>
          <w:sz w:val="26"/>
          <w:szCs w:val="26"/>
          <w:u w:val="single"/>
        </w:rPr>
        <w:t>I</w:t>
      </w:r>
      <w:r w:rsidRPr="001B0BAC">
        <w:rPr>
          <w:rFonts w:ascii="Arial" w:hAnsi="Arial" w:cs="Arial"/>
          <w:b/>
          <w:sz w:val="26"/>
          <w:szCs w:val="26"/>
          <w:u w:val="single"/>
        </w:rPr>
        <w:t>ssues to consider</w:t>
      </w:r>
    </w:p>
    <w:p w:rsidR="001C7E26" w:rsidP="009D3D0C" w:rsidRDefault="001C7E26">
      <w:pPr>
        <w:ind w:left="284"/>
        <w:rPr>
          <w:rFonts w:ascii="Arial" w:hAnsi="Arial" w:cs="Arial"/>
          <w:sz w:val="26"/>
          <w:szCs w:val="26"/>
        </w:rPr>
      </w:pPr>
    </w:p>
    <w:p w:rsidR="001C7E26" w:rsidP="009D3D0C" w:rsidRDefault="000B64CA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determining how to distribute the universal and additional hours funding the </w:t>
      </w:r>
      <w:r w:rsidR="003B0486">
        <w:rPr>
          <w:rFonts w:ascii="Arial" w:hAnsi="Arial" w:cs="Arial"/>
          <w:sz w:val="26"/>
          <w:szCs w:val="26"/>
        </w:rPr>
        <w:t>DfE</w:t>
      </w:r>
      <w:r>
        <w:rPr>
          <w:rFonts w:ascii="Arial" w:hAnsi="Arial" w:cs="Arial"/>
          <w:sz w:val="26"/>
          <w:szCs w:val="26"/>
        </w:rPr>
        <w:t xml:space="preserve">: </w:t>
      </w:r>
    </w:p>
    <w:p w:rsidR="001C7E26" w:rsidP="009D3D0C" w:rsidRDefault="001C7E26">
      <w:pPr>
        <w:ind w:left="284"/>
        <w:rPr>
          <w:rFonts w:ascii="Arial" w:hAnsi="Arial" w:cs="Arial"/>
          <w:sz w:val="26"/>
          <w:szCs w:val="26"/>
        </w:rPr>
      </w:pPr>
    </w:p>
    <w:p w:rsidRPr="00D17651" w:rsidR="002346C9" w:rsidP="000851FA" w:rsidRDefault="00D66DC1">
      <w:pPr>
        <w:pStyle w:val="ListParagraph"/>
        <w:numPr>
          <w:ilvl w:val="0"/>
          <w:numId w:val="39"/>
        </w:numPr>
        <w:ind w:left="99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Require </w:t>
      </w:r>
      <w:r w:rsidR="004C35CE">
        <w:rPr>
          <w:rFonts w:ascii="Arial" w:hAnsi="Arial" w:cs="Arial"/>
          <w:sz w:val="26"/>
          <w:szCs w:val="26"/>
        </w:rPr>
        <w:t xml:space="preserve">LAs to delegate </w:t>
      </w:r>
      <w:r w:rsidRPr="00D17651" w:rsidR="008C0CC4">
        <w:rPr>
          <w:rFonts w:ascii="Arial" w:hAnsi="Arial" w:cs="Arial"/>
          <w:sz w:val="26"/>
          <w:szCs w:val="26"/>
        </w:rPr>
        <w:t>9</w:t>
      </w:r>
      <w:r w:rsidRPr="00D17651" w:rsidR="000100AA">
        <w:rPr>
          <w:rFonts w:ascii="Arial" w:hAnsi="Arial" w:cs="Arial"/>
          <w:sz w:val="26"/>
          <w:szCs w:val="26"/>
        </w:rPr>
        <w:t>5</w:t>
      </w:r>
      <w:r w:rsidRPr="00D17651" w:rsidR="008C0CC4">
        <w:rPr>
          <w:rFonts w:ascii="Arial" w:hAnsi="Arial" w:cs="Arial"/>
          <w:sz w:val="26"/>
          <w:szCs w:val="26"/>
        </w:rPr>
        <w:t xml:space="preserve">% of relevant funding </w:t>
      </w:r>
      <w:r w:rsidRPr="00D17651" w:rsidR="00BD79E7">
        <w:rPr>
          <w:rFonts w:ascii="Arial" w:hAnsi="Arial" w:cs="Arial"/>
          <w:sz w:val="26"/>
          <w:szCs w:val="26"/>
        </w:rPr>
        <w:t xml:space="preserve">to providers </w:t>
      </w:r>
      <w:r w:rsidR="007A5BC7">
        <w:rPr>
          <w:rFonts w:ascii="Arial" w:hAnsi="Arial" w:cs="Arial"/>
          <w:sz w:val="26"/>
          <w:szCs w:val="26"/>
        </w:rPr>
        <w:t>in 2019-20</w:t>
      </w:r>
      <w:r w:rsidR="003D7C53">
        <w:rPr>
          <w:rFonts w:ascii="Arial" w:hAnsi="Arial" w:cs="Arial"/>
          <w:sz w:val="26"/>
          <w:szCs w:val="26"/>
        </w:rPr>
        <w:t>;</w:t>
      </w:r>
    </w:p>
    <w:p w:rsidRPr="007A339C" w:rsidR="002346C9" w:rsidP="0074017A" w:rsidRDefault="002346C9">
      <w:pPr>
        <w:ind w:left="284"/>
        <w:rPr>
          <w:rFonts w:ascii="Arial" w:hAnsi="Arial" w:cs="Arial"/>
          <w:sz w:val="12"/>
          <w:szCs w:val="26"/>
        </w:rPr>
      </w:pPr>
    </w:p>
    <w:p w:rsidR="000B64CA" w:rsidP="00C30CE9" w:rsidRDefault="00D66DC1">
      <w:pPr>
        <w:pStyle w:val="Default"/>
        <w:numPr>
          <w:ilvl w:val="0"/>
          <w:numId w:val="39"/>
        </w:numPr>
        <w:rPr>
          <w:sz w:val="26"/>
          <w:szCs w:val="26"/>
        </w:rPr>
      </w:pPr>
      <w:r>
        <w:rPr>
          <w:sz w:val="26"/>
          <w:szCs w:val="26"/>
        </w:rPr>
        <w:t>Require l</w:t>
      </w:r>
      <w:r w:rsidRPr="00C30CE9" w:rsidR="00C30CE9">
        <w:rPr>
          <w:sz w:val="26"/>
          <w:szCs w:val="26"/>
        </w:rPr>
        <w:t xml:space="preserve">ocal authorities </w:t>
      </w:r>
      <w:r>
        <w:rPr>
          <w:sz w:val="26"/>
          <w:szCs w:val="26"/>
        </w:rPr>
        <w:t xml:space="preserve">to </w:t>
      </w:r>
      <w:r w:rsidRPr="00C30CE9" w:rsidR="00C30CE9">
        <w:rPr>
          <w:sz w:val="26"/>
          <w:szCs w:val="26"/>
        </w:rPr>
        <w:t>have a single universal base rate for all providers by 2019-20</w:t>
      </w:r>
      <w:r w:rsidR="003D7C53">
        <w:rPr>
          <w:sz w:val="26"/>
          <w:szCs w:val="26"/>
        </w:rPr>
        <w:t>;</w:t>
      </w:r>
      <w:r w:rsidRPr="00C30CE9" w:rsidR="00C30CE9">
        <w:rPr>
          <w:sz w:val="26"/>
          <w:szCs w:val="26"/>
        </w:rPr>
        <w:t xml:space="preserve"> </w:t>
      </w:r>
    </w:p>
    <w:p w:rsidRPr="007A339C" w:rsidR="000B64CA" w:rsidP="000B64CA" w:rsidRDefault="000B64CA">
      <w:pPr>
        <w:pStyle w:val="ListParagraph"/>
        <w:rPr>
          <w:sz w:val="12"/>
          <w:szCs w:val="26"/>
        </w:rPr>
      </w:pPr>
    </w:p>
    <w:p w:rsidRPr="007A5BC7" w:rsidR="00C30CE9" w:rsidP="007A5BC7" w:rsidRDefault="00D66DC1">
      <w:pPr>
        <w:pStyle w:val="ListParagraph"/>
        <w:numPr>
          <w:ilvl w:val="0"/>
          <w:numId w:val="39"/>
        </w:numPr>
        <w:ind w:left="993"/>
        <w:rPr>
          <w:rFonts w:ascii="Arial" w:hAnsi="Arial" w:cs="Arial"/>
          <w:sz w:val="26"/>
          <w:szCs w:val="26"/>
        </w:rPr>
      </w:pPr>
      <w:r w:rsidRPr="007A5BC7">
        <w:rPr>
          <w:rFonts w:ascii="Arial" w:hAnsi="Arial" w:cs="Arial"/>
          <w:sz w:val="26"/>
          <w:szCs w:val="26"/>
        </w:rPr>
        <w:t>Allow l</w:t>
      </w:r>
      <w:r w:rsidRPr="007A5BC7" w:rsidR="00C30CE9">
        <w:rPr>
          <w:rFonts w:ascii="Arial" w:hAnsi="Arial" w:cs="Arial"/>
          <w:sz w:val="26"/>
          <w:szCs w:val="26"/>
        </w:rPr>
        <w:t>ocal authorities to continue to provide a higher level of funding</w:t>
      </w:r>
      <w:r w:rsidRPr="007A5BC7" w:rsidR="00E8369E">
        <w:rPr>
          <w:rFonts w:ascii="Arial" w:hAnsi="Arial" w:cs="Arial"/>
          <w:sz w:val="26"/>
          <w:szCs w:val="26"/>
        </w:rPr>
        <w:t xml:space="preserve"> to maintained nursery schools</w:t>
      </w:r>
      <w:r w:rsidRPr="007A5BC7" w:rsidR="003D7C53">
        <w:rPr>
          <w:rFonts w:ascii="Arial" w:hAnsi="Arial" w:cs="Arial"/>
          <w:sz w:val="26"/>
          <w:szCs w:val="26"/>
        </w:rPr>
        <w:t>; and</w:t>
      </w:r>
    </w:p>
    <w:p w:rsidRPr="007A5BC7" w:rsidR="00C30CE9" w:rsidP="007A5BC7" w:rsidRDefault="00C30CE9">
      <w:pPr>
        <w:pStyle w:val="ListParagraph"/>
        <w:ind w:left="993"/>
        <w:rPr>
          <w:rFonts w:ascii="Arial" w:hAnsi="Arial" w:cs="Arial"/>
          <w:sz w:val="14"/>
          <w:szCs w:val="26"/>
        </w:rPr>
      </w:pPr>
    </w:p>
    <w:p w:rsidR="008C0CC4" w:rsidP="007A5BC7" w:rsidRDefault="00D66DC1">
      <w:pPr>
        <w:pStyle w:val="ListParagraph"/>
        <w:numPr>
          <w:ilvl w:val="0"/>
          <w:numId w:val="39"/>
        </w:numPr>
        <w:ind w:left="99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Require local </w:t>
      </w:r>
      <w:r w:rsidR="00E8369E">
        <w:rPr>
          <w:rFonts w:ascii="Arial" w:hAnsi="Arial" w:cs="Arial"/>
          <w:sz w:val="26"/>
          <w:szCs w:val="26"/>
        </w:rPr>
        <w:t>early years</w:t>
      </w:r>
      <w:r>
        <w:rPr>
          <w:rFonts w:ascii="Arial" w:hAnsi="Arial" w:cs="Arial"/>
          <w:sz w:val="26"/>
          <w:szCs w:val="26"/>
        </w:rPr>
        <w:t>’</w:t>
      </w:r>
      <w:r w:rsidR="00E8369E">
        <w:rPr>
          <w:rFonts w:ascii="Arial" w:hAnsi="Arial" w:cs="Arial"/>
          <w:sz w:val="26"/>
          <w:szCs w:val="26"/>
        </w:rPr>
        <w:t xml:space="preserve"> formulae </w:t>
      </w:r>
      <w:r>
        <w:rPr>
          <w:rFonts w:ascii="Arial" w:hAnsi="Arial" w:cs="Arial"/>
          <w:sz w:val="26"/>
          <w:szCs w:val="26"/>
        </w:rPr>
        <w:t xml:space="preserve">to have </w:t>
      </w:r>
      <w:r w:rsidR="00C30CE9">
        <w:rPr>
          <w:rFonts w:ascii="Arial" w:hAnsi="Arial" w:cs="Arial"/>
          <w:sz w:val="26"/>
          <w:szCs w:val="26"/>
        </w:rPr>
        <w:t xml:space="preserve">a basic hourly rate and a deprivation indicator. In addition LAs can </w:t>
      </w:r>
      <w:r w:rsidR="00E8369E">
        <w:rPr>
          <w:rFonts w:ascii="Arial" w:hAnsi="Arial" w:cs="Arial"/>
          <w:sz w:val="26"/>
          <w:szCs w:val="26"/>
        </w:rPr>
        <w:t xml:space="preserve">include </w:t>
      </w:r>
      <w:r w:rsidR="00C30CE9">
        <w:rPr>
          <w:rFonts w:ascii="Arial" w:hAnsi="Arial" w:cs="Arial"/>
          <w:sz w:val="26"/>
          <w:szCs w:val="26"/>
        </w:rPr>
        <w:t>indicators for rurality/</w:t>
      </w:r>
      <w:r w:rsidR="00D05155">
        <w:rPr>
          <w:rFonts w:ascii="Arial" w:hAnsi="Arial" w:cs="Arial"/>
          <w:sz w:val="26"/>
          <w:szCs w:val="26"/>
        </w:rPr>
        <w:t xml:space="preserve"> </w:t>
      </w:r>
      <w:r w:rsidR="00C30CE9">
        <w:rPr>
          <w:rFonts w:ascii="Arial" w:hAnsi="Arial" w:cs="Arial"/>
          <w:sz w:val="26"/>
          <w:szCs w:val="26"/>
        </w:rPr>
        <w:t>sparsity, flexibility, quality</w:t>
      </w:r>
      <w:r w:rsidR="002511FF">
        <w:rPr>
          <w:rFonts w:ascii="Arial" w:hAnsi="Arial" w:cs="Arial"/>
          <w:sz w:val="26"/>
          <w:szCs w:val="26"/>
        </w:rPr>
        <w:t xml:space="preserve"> and a </w:t>
      </w:r>
      <w:r w:rsidR="00C30CE9">
        <w:rPr>
          <w:rFonts w:ascii="Arial" w:hAnsi="Arial" w:cs="Arial"/>
          <w:sz w:val="26"/>
          <w:szCs w:val="26"/>
        </w:rPr>
        <w:t xml:space="preserve">lump sum </w:t>
      </w:r>
      <w:r w:rsidR="002511FF">
        <w:rPr>
          <w:rFonts w:ascii="Arial" w:hAnsi="Arial" w:cs="Arial"/>
          <w:sz w:val="26"/>
          <w:szCs w:val="26"/>
        </w:rPr>
        <w:t xml:space="preserve">for </w:t>
      </w:r>
      <w:r w:rsidR="00C30CE9">
        <w:rPr>
          <w:rFonts w:ascii="Arial" w:hAnsi="Arial" w:cs="Arial"/>
          <w:sz w:val="26"/>
          <w:szCs w:val="26"/>
        </w:rPr>
        <w:t>nursery schools.</w:t>
      </w:r>
    </w:p>
    <w:p w:rsidRPr="007969DD" w:rsidR="007969DD" w:rsidP="007969DD" w:rsidRDefault="007969DD">
      <w:pPr>
        <w:ind w:left="284"/>
        <w:rPr>
          <w:rFonts w:ascii="Arial" w:hAnsi="Arial" w:cs="Arial"/>
          <w:sz w:val="26"/>
          <w:szCs w:val="26"/>
        </w:rPr>
      </w:pPr>
    </w:p>
    <w:p w:rsidRPr="001B0BAC" w:rsidR="002511FF" w:rsidP="001B0BAC" w:rsidRDefault="000B64CA">
      <w:pPr>
        <w:ind w:left="1134" w:hanging="850"/>
        <w:rPr>
          <w:rFonts w:ascii="Arial" w:hAnsi="Arial" w:cs="Arial"/>
          <w:b/>
          <w:sz w:val="26"/>
          <w:szCs w:val="26"/>
          <w:u w:val="single"/>
        </w:rPr>
      </w:pPr>
      <w:r w:rsidRPr="000B64CA">
        <w:rPr>
          <w:rFonts w:ascii="Arial" w:hAnsi="Arial" w:cs="Arial"/>
          <w:b/>
          <w:sz w:val="26"/>
          <w:szCs w:val="26"/>
        </w:rPr>
        <w:t>2.3</w:t>
      </w:r>
      <w:r w:rsidRPr="000B64CA">
        <w:rPr>
          <w:rFonts w:ascii="Arial" w:hAnsi="Arial" w:cs="Arial"/>
          <w:b/>
          <w:sz w:val="26"/>
          <w:szCs w:val="26"/>
        </w:rPr>
        <w:tab/>
      </w:r>
      <w:r w:rsidR="007A5BC7">
        <w:rPr>
          <w:rFonts w:ascii="Arial" w:hAnsi="Arial" w:cs="Arial"/>
          <w:b/>
          <w:sz w:val="26"/>
          <w:szCs w:val="26"/>
          <w:u w:val="single"/>
        </w:rPr>
        <w:t xml:space="preserve">Issues for </w:t>
      </w:r>
      <w:r w:rsidRPr="001B0BAC" w:rsidR="002511FF">
        <w:rPr>
          <w:rFonts w:ascii="Arial" w:hAnsi="Arial" w:cs="Arial"/>
          <w:b/>
          <w:sz w:val="26"/>
          <w:szCs w:val="26"/>
          <w:u w:val="single"/>
        </w:rPr>
        <w:t>201</w:t>
      </w:r>
      <w:r w:rsidR="007A5BC7">
        <w:rPr>
          <w:rFonts w:ascii="Arial" w:hAnsi="Arial" w:cs="Arial"/>
          <w:b/>
          <w:sz w:val="26"/>
          <w:szCs w:val="26"/>
          <w:u w:val="single"/>
        </w:rPr>
        <w:t>9-20</w:t>
      </w:r>
    </w:p>
    <w:p w:rsidR="002511FF" w:rsidP="005E3C8F" w:rsidRDefault="002511FF">
      <w:pPr>
        <w:ind w:left="1418" w:hanging="1134"/>
        <w:rPr>
          <w:rFonts w:ascii="Arial" w:hAnsi="Arial" w:cs="Arial"/>
          <w:b/>
          <w:sz w:val="26"/>
          <w:szCs w:val="26"/>
        </w:rPr>
      </w:pPr>
    </w:p>
    <w:p w:rsidR="008F524B" w:rsidP="00340F40" w:rsidRDefault="007A5BC7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When the original 2018-19 Early Years budgets were approved </w:t>
      </w:r>
      <w:r w:rsidR="008F524B">
        <w:rPr>
          <w:rFonts w:ascii="Arial" w:hAnsi="Arial" w:cs="Arial"/>
          <w:sz w:val="26"/>
          <w:szCs w:val="26"/>
        </w:rPr>
        <w:t xml:space="preserve">the total proposed spend exceeded the </w:t>
      </w:r>
      <w:r w:rsidR="00211C56">
        <w:rPr>
          <w:rFonts w:ascii="Arial" w:hAnsi="Arial" w:cs="Arial"/>
          <w:sz w:val="26"/>
          <w:szCs w:val="26"/>
        </w:rPr>
        <w:t xml:space="preserve">grant allocation by £0.491m. Given the reduced DSG reserves </w:t>
      </w:r>
      <w:r w:rsidR="00D50AEF">
        <w:rPr>
          <w:rFonts w:ascii="Arial" w:hAnsi="Arial" w:cs="Arial"/>
          <w:sz w:val="26"/>
          <w:szCs w:val="26"/>
        </w:rPr>
        <w:t>held by the Authority</w:t>
      </w:r>
      <w:r w:rsidR="00211C56">
        <w:rPr>
          <w:rFonts w:ascii="Arial" w:hAnsi="Arial" w:cs="Arial"/>
          <w:sz w:val="26"/>
          <w:szCs w:val="26"/>
        </w:rPr>
        <w:t xml:space="preserve">, and the continuing </w:t>
      </w:r>
      <w:r w:rsidR="00FD54EE">
        <w:rPr>
          <w:rFonts w:ascii="Arial" w:hAnsi="Arial" w:cs="Arial"/>
          <w:sz w:val="26"/>
          <w:szCs w:val="26"/>
        </w:rPr>
        <w:t>H</w:t>
      </w:r>
      <w:r w:rsidR="00211C56">
        <w:rPr>
          <w:rFonts w:ascii="Arial" w:hAnsi="Arial" w:cs="Arial"/>
          <w:sz w:val="26"/>
          <w:szCs w:val="26"/>
        </w:rPr>
        <w:t xml:space="preserve">igh </w:t>
      </w:r>
      <w:r w:rsidR="00FD54EE">
        <w:rPr>
          <w:rFonts w:ascii="Arial" w:hAnsi="Arial" w:cs="Arial"/>
          <w:sz w:val="26"/>
          <w:szCs w:val="26"/>
        </w:rPr>
        <w:t>N</w:t>
      </w:r>
      <w:r w:rsidR="00211C56">
        <w:rPr>
          <w:rFonts w:ascii="Arial" w:hAnsi="Arial" w:cs="Arial"/>
          <w:sz w:val="26"/>
          <w:szCs w:val="26"/>
        </w:rPr>
        <w:t xml:space="preserve">eeds </w:t>
      </w:r>
      <w:r w:rsidR="00FD54EE">
        <w:rPr>
          <w:rFonts w:ascii="Arial" w:hAnsi="Arial" w:cs="Arial"/>
          <w:sz w:val="26"/>
          <w:szCs w:val="26"/>
        </w:rPr>
        <w:t>B</w:t>
      </w:r>
      <w:r w:rsidR="00211C56">
        <w:rPr>
          <w:rFonts w:ascii="Arial" w:hAnsi="Arial" w:cs="Arial"/>
          <w:sz w:val="26"/>
          <w:szCs w:val="26"/>
        </w:rPr>
        <w:t xml:space="preserve">lock pressures, this gap needs to be </w:t>
      </w:r>
      <w:r w:rsidR="001E0718">
        <w:rPr>
          <w:rFonts w:ascii="Arial" w:hAnsi="Arial" w:cs="Arial"/>
          <w:sz w:val="26"/>
          <w:szCs w:val="26"/>
        </w:rPr>
        <w:t xml:space="preserve">reduced, and preferably </w:t>
      </w:r>
      <w:r w:rsidR="00211C56">
        <w:rPr>
          <w:rFonts w:ascii="Arial" w:hAnsi="Arial" w:cs="Arial"/>
          <w:sz w:val="26"/>
          <w:szCs w:val="26"/>
        </w:rPr>
        <w:t>closed</w:t>
      </w:r>
      <w:r w:rsidR="001E0718">
        <w:rPr>
          <w:rFonts w:ascii="Arial" w:hAnsi="Arial" w:cs="Arial"/>
          <w:sz w:val="26"/>
          <w:szCs w:val="26"/>
        </w:rPr>
        <w:t>,</w:t>
      </w:r>
      <w:r w:rsidR="00211C56">
        <w:rPr>
          <w:rFonts w:ascii="Arial" w:hAnsi="Arial" w:cs="Arial"/>
          <w:sz w:val="26"/>
          <w:szCs w:val="26"/>
        </w:rPr>
        <w:t xml:space="preserve"> in 2019-20.</w:t>
      </w:r>
    </w:p>
    <w:p w:rsidR="00211C56" w:rsidP="00340F40" w:rsidRDefault="00211C56">
      <w:pPr>
        <w:ind w:left="284"/>
        <w:rPr>
          <w:rFonts w:ascii="Arial" w:hAnsi="Arial" w:cs="Arial"/>
          <w:sz w:val="26"/>
          <w:szCs w:val="26"/>
        </w:rPr>
      </w:pPr>
    </w:p>
    <w:p w:rsidRPr="00893174" w:rsidR="00893174" w:rsidP="00340F40" w:rsidRDefault="00893174">
      <w:pPr>
        <w:ind w:left="284"/>
        <w:rPr>
          <w:rFonts w:ascii="Arial" w:hAnsi="Arial" w:cs="Arial"/>
          <w:b/>
          <w:sz w:val="26"/>
          <w:szCs w:val="26"/>
        </w:rPr>
      </w:pPr>
      <w:r w:rsidRPr="00893174">
        <w:rPr>
          <w:rFonts w:ascii="Arial" w:hAnsi="Arial" w:cs="Arial"/>
          <w:b/>
          <w:sz w:val="26"/>
          <w:szCs w:val="26"/>
        </w:rPr>
        <w:t>2.3.1</w:t>
      </w:r>
      <w:r w:rsidRPr="00893174">
        <w:rPr>
          <w:rFonts w:ascii="Arial" w:hAnsi="Arial" w:cs="Arial"/>
          <w:b/>
          <w:sz w:val="26"/>
          <w:szCs w:val="26"/>
        </w:rPr>
        <w:tab/>
      </w:r>
      <w:r w:rsidRPr="00893174">
        <w:rPr>
          <w:rFonts w:ascii="Arial" w:hAnsi="Arial" w:cs="Arial"/>
          <w:b/>
          <w:sz w:val="26"/>
          <w:szCs w:val="26"/>
          <w:u w:val="single"/>
        </w:rPr>
        <w:t>Passporting test</w:t>
      </w:r>
    </w:p>
    <w:p w:rsidR="00893174" w:rsidP="00340F40" w:rsidRDefault="00893174">
      <w:pPr>
        <w:ind w:left="284"/>
        <w:rPr>
          <w:rFonts w:ascii="Arial" w:hAnsi="Arial" w:cs="Arial"/>
          <w:sz w:val="26"/>
          <w:szCs w:val="26"/>
        </w:rPr>
      </w:pPr>
    </w:p>
    <w:p w:rsidR="00D50AEF" w:rsidP="00340F40" w:rsidRDefault="00D50AEF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DfE requires that at least 95% of relevant funding has to be delegated to providers, leaving a maximum of 5% to be used for central</w:t>
      </w:r>
      <w:r w:rsidR="001A677B">
        <w:rPr>
          <w:rFonts w:ascii="Arial" w:hAnsi="Arial" w:cs="Arial"/>
          <w:sz w:val="26"/>
          <w:szCs w:val="26"/>
        </w:rPr>
        <w:t xml:space="preserve">ly funded </w:t>
      </w:r>
      <w:r>
        <w:rPr>
          <w:rFonts w:ascii="Arial" w:hAnsi="Arial" w:cs="Arial"/>
          <w:sz w:val="26"/>
          <w:szCs w:val="26"/>
        </w:rPr>
        <w:t xml:space="preserve">services. The passporting calculation for 2019-20 based on the funding levels in Table 1 </w:t>
      </w:r>
      <w:r w:rsidR="009A0519">
        <w:rPr>
          <w:rFonts w:ascii="Arial" w:hAnsi="Arial" w:cs="Arial"/>
          <w:sz w:val="26"/>
          <w:szCs w:val="26"/>
        </w:rPr>
        <w:t>is</w:t>
      </w:r>
      <w:r>
        <w:rPr>
          <w:rFonts w:ascii="Arial" w:hAnsi="Arial" w:cs="Arial"/>
          <w:sz w:val="26"/>
          <w:szCs w:val="26"/>
        </w:rPr>
        <w:t xml:space="preserve"> set out </w:t>
      </w:r>
      <w:r w:rsidR="00FD54EE">
        <w:rPr>
          <w:rFonts w:ascii="Arial" w:hAnsi="Arial" w:cs="Arial"/>
          <w:sz w:val="26"/>
          <w:szCs w:val="26"/>
        </w:rPr>
        <w:t>overleaf</w:t>
      </w:r>
      <w:r>
        <w:rPr>
          <w:rFonts w:ascii="Arial" w:hAnsi="Arial" w:cs="Arial"/>
          <w:sz w:val="26"/>
          <w:szCs w:val="26"/>
        </w:rPr>
        <w:t>.</w:t>
      </w:r>
    </w:p>
    <w:p w:rsidR="00187B69" w:rsidP="00340F40" w:rsidRDefault="00187B69">
      <w:pPr>
        <w:ind w:left="284"/>
        <w:rPr>
          <w:rFonts w:ascii="Arial" w:hAnsi="Arial" w:cs="Arial"/>
          <w:sz w:val="26"/>
          <w:szCs w:val="26"/>
        </w:rPr>
      </w:pPr>
    </w:p>
    <w:p w:rsidR="008F524B" w:rsidP="00340F40" w:rsidRDefault="003A3FE5">
      <w:pPr>
        <w:ind w:left="284"/>
        <w:rPr>
          <w:rFonts w:ascii="Arial" w:hAnsi="Arial" w:cs="Arial"/>
          <w:sz w:val="26"/>
          <w:szCs w:val="26"/>
        </w:rPr>
      </w:pPr>
      <w:r w:rsidRPr="003A3FE5">
        <w:rPr>
          <w:noProof/>
          <w:lang w:eastAsia="en-GB"/>
        </w:rPr>
        <w:lastRenderedPageBreak/>
        <w:drawing>
          <wp:inline distT="0" distB="0" distL="0" distR="0">
            <wp:extent cx="6035040" cy="350652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38" cy="3514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B69" w:rsidP="00340F40" w:rsidRDefault="00187B69">
      <w:pPr>
        <w:ind w:left="284"/>
        <w:rPr>
          <w:rFonts w:ascii="Arial" w:hAnsi="Arial" w:cs="Arial"/>
          <w:sz w:val="26"/>
          <w:szCs w:val="26"/>
        </w:rPr>
      </w:pPr>
    </w:p>
    <w:p w:rsidRPr="00456AD3" w:rsidR="00893174" w:rsidP="00340F40" w:rsidRDefault="00456AD3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456AD3">
        <w:rPr>
          <w:rFonts w:ascii="Arial" w:hAnsi="Arial" w:cs="Arial"/>
          <w:b/>
          <w:sz w:val="26"/>
          <w:szCs w:val="26"/>
        </w:rPr>
        <w:t>2.3.2</w:t>
      </w:r>
      <w:r w:rsidRPr="00456AD3">
        <w:rPr>
          <w:rFonts w:ascii="Arial" w:hAnsi="Arial" w:cs="Arial"/>
          <w:b/>
          <w:sz w:val="26"/>
          <w:szCs w:val="26"/>
        </w:rPr>
        <w:tab/>
      </w:r>
      <w:r w:rsidR="00480737">
        <w:rPr>
          <w:rFonts w:ascii="Arial" w:hAnsi="Arial" w:cs="Arial"/>
          <w:b/>
          <w:sz w:val="26"/>
          <w:szCs w:val="26"/>
          <w:u w:val="single"/>
        </w:rPr>
        <w:t>Delegated allocations</w:t>
      </w:r>
    </w:p>
    <w:p w:rsidR="008F524B" w:rsidP="00340F40" w:rsidRDefault="008F524B">
      <w:pPr>
        <w:ind w:left="284"/>
        <w:rPr>
          <w:rFonts w:ascii="Arial" w:hAnsi="Arial" w:cs="Arial"/>
          <w:sz w:val="26"/>
          <w:szCs w:val="26"/>
        </w:rPr>
      </w:pPr>
    </w:p>
    <w:p w:rsidR="00456AD3" w:rsidP="00340F40" w:rsidRDefault="00167A80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above delegated quantum would fund the hours and multipliers for 2019-20 set out in Table 3 below. </w:t>
      </w:r>
    </w:p>
    <w:p w:rsidR="00167A80" w:rsidP="00340F40" w:rsidRDefault="00167A80">
      <w:pPr>
        <w:ind w:left="284"/>
        <w:rPr>
          <w:rFonts w:ascii="Arial" w:hAnsi="Arial" w:cs="Arial"/>
          <w:sz w:val="26"/>
          <w:szCs w:val="26"/>
        </w:rPr>
      </w:pPr>
    </w:p>
    <w:p w:rsidRPr="00340F40" w:rsidR="00340F40" w:rsidP="005E3C8F" w:rsidRDefault="00340F40">
      <w:pPr>
        <w:ind w:left="1418" w:hanging="1134"/>
        <w:rPr>
          <w:rFonts w:ascii="Arial" w:hAnsi="Arial" w:cs="Arial"/>
          <w:b/>
          <w:sz w:val="26"/>
          <w:szCs w:val="26"/>
          <w:u w:val="single"/>
        </w:rPr>
      </w:pPr>
      <w:r w:rsidRPr="00340F40">
        <w:rPr>
          <w:rFonts w:ascii="Arial" w:hAnsi="Arial" w:cs="Arial"/>
          <w:b/>
          <w:sz w:val="26"/>
          <w:szCs w:val="26"/>
          <w:u w:val="single"/>
        </w:rPr>
        <w:t xml:space="preserve">Table </w:t>
      </w:r>
      <w:r w:rsidR="00167A80">
        <w:rPr>
          <w:rFonts w:ascii="Arial" w:hAnsi="Arial" w:cs="Arial"/>
          <w:b/>
          <w:sz w:val="26"/>
          <w:szCs w:val="26"/>
          <w:u w:val="single"/>
        </w:rPr>
        <w:t>3</w:t>
      </w:r>
      <w:r w:rsidRPr="00340F40">
        <w:rPr>
          <w:rFonts w:ascii="Arial" w:hAnsi="Arial" w:cs="Arial"/>
          <w:b/>
          <w:sz w:val="26"/>
          <w:szCs w:val="26"/>
          <w:u w:val="single"/>
        </w:rPr>
        <w:t xml:space="preserve"> – P</w:t>
      </w:r>
      <w:r w:rsidR="000B64CA">
        <w:rPr>
          <w:rFonts w:ascii="Arial" w:hAnsi="Arial" w:cs="Arial"/>
          <w:b/>
          <w:sz w:val="26"/>
          <w:szCs w:val="26"/>
          <w:u w:val="single"/>
        </w:rPr>
        <w:t xml:space="preserve">roposed </w:t>
      </w:r>
      <w:r w:rsidRPr="00340F40">
        <w:rPr>
          <w:rFonts w:ascii="Arial" w:hAnsi="Arial" w:cs="Arial"/>
          <w:b/>
          <w:sz w:val="26"/>
          <w:szCs w:val="26"/>
          <w:u w:val="single"/>
        </w:rPr>
        <w:t xml:space="preserve">Early Years </w:t>
      </w:r>
      <w:r w:rsidR="000B64CA">
        <w:rPr>
          <w:rFonts w:ascii="Arial" w:hAnsi="Arial" w:cs="Arial"/>
          <w:b/>
          <w:sz w:val="26"/>
          <w:szCs w:val="26"/>
          <w:u w:val="single"/>
        </w:rPr>
        <w:t xml:space="preserve">Delegated </w:t>
      </w:r>
      <w:r w:rsidRPr="00340F40">
        <w:rPr>
          <w:rFonts w:ascii="Arial" w:hAnsi="Arial" w:cs="Arial"/>
          <w:b/>
          <w:sz w:val="26"/>
          <w:szCs w:val="26"/>
          <w:u w:val="single"/>
        </w:rPr>
        <w:t>Allocations 2018-19</w:t>
      </w:r>
    </w:p>
    <w:p w:rsidR="00340F40" w:rsidP="005E3C8F" w:rsidRDefault="00340F40">
      <w:pPr>
        <w:ind w:left="1418" w:hanging="1134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94"/>
        <w:gridCol w:w="993"/>
        <w:gridCol w:w="1087"/>
        <w:gridCol w:w="1134"/>
        <w:gridCol w:w="1276"/>
        <w:gridCol w:w="1464"/>
      </w:tblGrid>
      <w:tr w:rsidR="002511FF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2511FF" w:rsidP="00DC6633" w:rsidRDefault="002511FF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93" w:type="dxa"/>
            <w:vAlign w:val="bottom"/>
          </w:tcPr>
          <w:p w:rsidRPr="00D17651" w:rsidR="002511FF" w:rsidP="00340F4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N</w:t>
            </w:r>
            <w:r w:rsidRPr="00D17651" w:rsidR="00340F40">
              <w:rPr>
                <w:rFonts w:ascii="Arial" w:hAnsi="Arial" w:cs="Arial"/>
                <w:color w:val="000000"/>
                <w:sz w:val="22"/>
              </w:rPr>
              <w:t xml:space="preserve">ursery </w:t>
            </w:r>
            <w:r w:rsidRPr="00D17651">
              <w:rPr>
                <w:rFonts w:ascii="Arial" w:hAnsi="Arial" w:cs="Arial"/>
                <w:color w:val="000000"/>
                <w:sz w:val="22"/>
              </w:rPr>
              <w:t>sch</w:t>
            </w:r>
            <w:r w:rsidRPr="00D17651" w:rsidR="00340F40">
              <w:rPr>
                <w:rFonts w:ascii="Arial" w:hAnsi="Arial" w:cs="Arial"/>
                <w:color w:val="000000"/>
                <w:sz w:val="22"/>
              </w:rPr>
              <w:t>ools</w:t>
            </w:r>
          </w:p>
        </w:tc>
        <w:tc>
          <w:tcPr>
            <w:tcW w:w="1087" w:type="dxa"/>
            <w:vAlign w:val="bottom"/>
          </w:tcPr>
          <w:p w:rsidRPr="00D17651" w:rsidR="002511FF" w:rsidP="00DC6633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Nurs</w:t>
            </w:r>
            <w:r w:rsidRPr="00D17651" w:rsidR="00340F40">
              <w:rPr>
                <w:rFonts w:ascii="Arial" w:hAnsi="Arial" w:cs="Arial"/>
                <w:color w:val="000000"/>
                <w:sz w:val="22"/>
              </w:rPr>
              <w:t>ery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units</w:t>
            </w:r>
          </w:p>
        </w:tc>
        <w:tc>
          <w:tcPr>
            <w:tcW w:w="1134" w:type="dxa"/>
            <w:vAlign w:val="bottom"/>
          </w:tcPr>
          <w:p w:rsidRPr="00D17651" w:rsidR="002511FF" w:rsidP="00DC6633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PVI</w:t>
            </w:r>
          </w:p>
        </w:tc>
        <w:tc>
          <w:tcPr>
            <w:tcW w:w="1276" w:type="dxa"/>
            <w:vAlign w:val="bottom"/>
          </w:tcPr>
          <w:p w:rsidRPr="00D17651" w:rsidR="002511FF" w:rsidP="00DC6633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Total</w:t>
            </w:r>
          </w:p>
        </w:tc>
      </w:tr>
      <w:tr w:rsidR="002511FF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2511FF" w:rsidP="00DC6633" w:rsidRDefault="000B64CA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Proposed </w:t>
            </w:r>
            <w:r w:rsidRPr="00D17651" w:rsidR="002511FF">
              <w:rPr>
                <w:rFonts w:ascii="Arial" w:hAnsi="Arial" w:cs="Arial"/>
                <w:color w:val="000000"/>
                <w:sz w:val="22"/>
              </w:rPr>
              <w:t>Universal hourly rate</w:t>
            </w:r>
          </w:p>
        </w:tc>
        <w:tc>
          <w:tcPr>
            <w:tcW w:w="993" w:type="dxa"/>
            <w:vAlign w:val="bottom"/>
          </w:tcPr>
          <w:p w:rsidRPr="00D17651" w:rsidR="002511FF" w:rsidP="00167A8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£4.0</w:t>
            </w:r>
            <w:r w:rsidR="00167A80">
              <w:rPr>
                <w:rFonts w:ascii="Arial" w:hAnsi="Arial" w:cs="Arial"/>
                <w:color w:val="000000"/>
                <w:sz w:val="22"/>
              </w:rPr>
              <w:t>8</w:t>
            </w:r>
          </w:p>
        </w:tc>
        <w:tc>
          <w:tcPr>
            <w:tcW w:w="1087" w:type="dxa"/>
            <w:vAlign w:val="bottom"/>
          </w:tcPr>
          <w:p w:rsidRPr="00D17651" w:rsidR="002511FF" w:rsidP="00167A8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£4.0</w:t>
            </w:r>
            <w:r w:rsidR="00167A80">
              <w:rPr>
                <w:rFonts w:ascii="Arial" w:hAnsi="Arial" w:cs="Arial"/>
                <w:color w:val="000000"/>
                <w:sz w:val="22"/>
              </w:rPr>
              <w:t>8</w:t>
            </w:r>
          </w:p>
        </w:tc>
        <w:tc>
          <w:tcPr>
            <w:tcW w:w="1134" w:type="dxa"/>
            <w:vAlign w:val="bottom"/>
          </w:tcPr>
          <w:p w:rsidRPr="00D17651" w:rsidR="002511FF" w:rsidP="00167A8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£4.0</w:t>
            </w:r>
            <w:r w:rsidR="00167A80">
              <w:rPr>
                <w:rFonts w:ascii="Arial" w:hAnsi="Arial" w:cs="Arial"/>
                <w:color w:val="000000"/>
                <w:sz w:val="22"/>
              </w:rPr>
              <w:t>8</w:t>
            </w:r>
          </w:p>
        </w:tc>
        <w:tc>
          <w:tcPr>
            <w:tcW w:w="1276" w:type="dxa"/>
            <w:vAlign w:val="bottom"/>
          </w:tcPr>
          <w:p w:rsidRPr="00D17651" w:rsidR="002511FF" w:rsidP="00DC6633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-</w:t>
            </w:r>
          </w:p>
        </w:tc>
      </w:tr>
      <w:tr w:rsidR="002511FF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2511FF" w:rsidP="00DC6633" w:rsidRDefault="000B64CA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Proposed </w:t>
            </w:r>
            <w:r w:rsidRPr="00D17651" w:rsidR="002511FF">
              <w:rPr>
                <w:rFonts w:ascii="Arial" w:hAnsi="Arial" w:cs="Arial"/>
                <w:color w:val="000000"/>
                <w:sz w:val="22"/>
              </w:rPr>
              <w:t>Enhanced  hourly rate</w:t>
            </w:r>
          </w:p>
        </w:tc>
        <w:tc>
          <w:tcPr>
            <w:tcW w:w="993" w:type="dxa"/>
            <w:vAlign w:val="bottom"/>
          </w:tcPr>
          <w:p w:rsidRPr="00D17651" w:rsidR="002511FF" w:rsidP="00167A8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£0.5</w:t>
            </w:r>
            <w:r w:rsidR="00167A80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  <w:tc>
          <w:tcPr>
            <w:tcW w:w="1087" w:type="dxa"/>
            <w:vAlign w:val="bottom"/>
          </w:tcPr>
          <w:p w:rsidRPr="00D17651" w:rsidR="002511FF" w:rsidP="00167A80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£0.</w:t>
            </w:r>
            <w:r w:rsidR="00167A80">
              <w:rPr>
                <w:rFonts w:ascii="Arial" w:hAnsi="Arial" w:cs="Arial"/>
                <w:color w:val="000000"/>
                <w:sz w:val="22"/>
              </w:rPr>
              <w:t>00</w:t>
            </w:r>
          </w:p>
        </w:tc>
        <w:tc>
          <w:tcPr>
            <w:tcW w:w="1134" w:type="dxa"/>
            <w:vAlign w:val="bottom"/>
          </w:tcPr>
          <w:p w:rsidRPr="00D17651" w:rsidR="002511FF" w:rsidP="00FA0EBB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£0.00</w:t>
            </w:r>
          </w:p>
        </w:tc>
        <w:tc>
          <w:tcPr>
            <w:tcW w:w="1276" w:type="dxa"/>
            <w:vAlign w:val="bottom"/>
          </w:tcPr>
          <w:p w:rsidRPr="00D17651" w:rsidR="002511FF" w:rsidP="00DC6633" w:rsidRDefault="002511FF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-</w:t>
            </w:r>
          </w:p>
        </w:tc>
      </w:tr>
      <w:tr w:rsidRPr="006D28F2" w:rsidR="00116A97" w:rsidTr="00FD54EE">
        <w:tc>
          <w:tcPr>
            <w:tcW w:w="4394" w:type="dxa"/>
            <w:vAlign w:val="bottom"/>
          </w:tcPr>
          <w:p w:rsidRPr="00D17651" w:rsidR="00116A97" w:rsidP="00340F40" w:rsidRDefault="00116A97">
            <w:pPr>
              <w:rPr>
                <w:rFonts w:ascii="Arial" w:hAnsi="Arial" w:cs="Arial"/>
                <w:b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color w:val="000000"/>
                <w:sz w:val="22"/>
              </w:rPr>
              <w:t xml:space="preserve">Proposed </w:t>
            </w:r>
            <w:r w:rsidR="000B64CA">
              <w:rPr>
                <w:rFonts w:ascii="Arial" w:hAnsi="Arial" w:cs="Arial"/>
                <w:b/>
                <w:color w:val="000000"/>
                <w:sz w:val="22"/>
              </w:rPr>
              <w:t xml:space="preserve">Overall </w:t>
            </w:r>
            <w:r w:rsidRPr="00D17651">
              <w:rPr>
                <w:rFonts w:ascii="Arial" w:hAnsi="Arial" w:cs="Arial"/>
                <w:b/>
                <w:color w:val="000000"/>
                <w:sz w:val="22"/>
              </w:rPr>
              <w:t>hourly rate</w:t>
            </w:r>
          </w:p>
        </w:tc>
        <w:tc>
          <w:tcPr>
            <w:tcW w:w="993" w:type="dxa"/>
            <w:vAlign w:val="bottom"/>
          </w:tcPr>
          <w:p w:rsidRPr="00D17651" w:rsidR="00116A97" w:rsidP="00FA0EBB" w:rsidRDefault="00116A97">
            <w:pPr>
              <w:jc w:val="right"/>
              <w:rPr>
                <w:rFonts w:ascii="Arial" w:hAnsi="Arial" w:cs="Arial"/>
                <w:b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color w:val="000000"/>
                <w:sz w:val="22"/>
              </w:rPr>
              <w:t>£4.62</w:t>
            </w:r>
          </w:p>
        </w:tc>
        <w:tc>
          <w:tcPr>
            <w:tcW w:w="1087" w:type="dxa"/>
            <w:vAlign w:val="bottom"/>
          </w:tcPr>
          <w:p w:rsidRPr="00D17651" w:rsidR="00116A97" w:rsidP="00167A80" w:rsidRDefault="00116A97">
            <w:pPr>
              <w:jc w:val="right"/>
              <w:rPr>
                <w:rFonts w:ascii="Arial" w:hAnsi="Arial" w:cs="Arial"/>
                <w:b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color w:val="000000"/>
                <w:sz w:val="22"/>
              </w:rPr>
              <w:t>£4.</w:t>
            </w:r>
            <w:r w:rsidR="00167A80">
              <w:rPr>
                <w:rFonts w:ascii="Arial" w:hAnsi="Arial" w:cs="Arial"/>
                <w:b/>
                <w:color w:val="000000"/>
                <w:sz w:val="22"/>
              </w:rPr>
              <w:t>08</w:t>
            </w:r>
          </w:p>
        </w:tc>
        <w:tc>
          <w:tcPr>
            <w:tcW w:w="1134" w:type="dxa"/>
            <w:vAlign w:val="bottom"/>
          </w:tcPr>
          <w:p w:rsidRPr="00D17651" w:rsidR="00116A97" w:rsidP="00167A80" w:rsidRDefault="00116A97">
            <w:pPr>
              <w:jc w:val="right"/>
              <w:rPr>
                <w:rFonts w:ascii="Arial" w:hAnsi="Arial" w:cs="Arial"/>
                <w:b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color w:val="000000"/>
                <w:sz w:val="22"/>
              </w:rPr>
              <w:t>£4.0</w:t>
            </w:r>
            <w:r w:rsidR="00167A80">
              <w:rPr>
                <w:rFonts w:ascii="Arial" w:hAnsi="Arial" w:cs="Arial"/>
                <w:b/>
                <w:color w:val="000000"/>
                <w:sz w:val="22"/>
              </w:rPr>
              <w:t>8</w:t>
            </w:r>
          </w:p>
        </w:tc>
        <w:tc>
          <w:tcPr>
            <w:tcW w:w="1276" w:type="dxa"/>
          </w:tcPr>
          <w:p w:rsidRPr="00D17651" w:rsidR="00116A97" w:rsidP="00DC6633" w:rsidRDefault="00116A97">
            <w:pPr>
              <w:jc w:val="right"/>
              <w:rPr>
                <w:rFonts w:ascii="Arial" w:hAnsi="Arial" w:cs="Arial"/>
                <w:b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color w:val="000000"/>
                <w:sz w:val="22"/>
              </w:rPr>
              <w:t>-</w:t>
            </w:r>
          </w:p>
        </w:tc>
        <w:tc>
          <w:tcPr>
            <w:tcW w:w="1464" w:type="dxa"/>
            <w:vAlign w:val="bottom"/>
          </w:tcPr>
          <w:p w:rsidRPr="00D17651" w:rsidR="00116A97" w:rsidP="00C565EE" w:rsidRDefault="00116A9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A</w:t>
            </w:r>
          </w:p>
        </w:tc>
      </w:tr>
      <w:tr w:rsidRPr="00D17651" w:rsidR="00340F40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340F40" w:rsidP="00340F40" w:rsidRDefault="00340F40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93" w:type="dxa"/>
            <w:vAlign w:val="bottom"/>
          </w:tcPr>
          <w:p w:rsidRPr="00D17651" w:rsidR="00340F40" w:rsidP="00340F40" w:rsidRDefault="00340F4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087" w:type="dxa"/>
            <w:vAlign w:val="bottom"/>
          </w:tcPr>
          <w:p w:rsidRPr="00D17651" w:rsidR="00340F40" w:rsidP="00340F40" w:rsidRDefault="00340F4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134" w:type="dxa"/>
            <w:vAlign w:val="bottom"/>
          </w:tcPr>
          <w:p w:rsidRPr="00D17651" w:rsidR="00340F40" w:rsidP="00340F40" w:rsidRDefault="00340F4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  <w:vAlign w:val="bottom"/>
          </w:tcPr>
          <w:p w:rsidRPr="00D17651" w:rsidR="00340F40" w:rsidP="00340F40" w:rsidRDefault="00340F4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480737" w:rsidTr="00FD54EE">
        <w:tc>
          <w:tcPr>
            <w:tcW w:w="4394" w:type="dxa"/>
            <w:vAlign w:val="bottom"/>
          </w:tcPr>
          <w:p w:rsidRPr="00D17651" w:rsidR="00480737" w:rsidP="00480737" w:rsidRDefault="00480737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No. 3&amp;4 year olds accessing universal hrs</w:t>
            </w:r>
          </w:p>
        </w:tc>
        <w:tc>
          <w:tcPr>
            <w:tcW w:w="993" w:type="dxa"/>
            <w:vAlign w:val="bottom"/>
          </w:tcPr>
          <w:p w:rsidR="00480737" w:rsidP="00480737" w:rsidRDefault="00480737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638.86 </w:t>
            </w:r>
          </w:p>
        </w:tc>
        <w:tc>
          <w:tcPr>
            <w:tcW w:w="1087" w:type="dxa"/>
            <w:vAlign w:val="bottom"/>
          </w:tcPr>
          <w:p w:rsidR="00480737" w:rsidP="00480737" w:rsidRDefault="00480737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3,580.05 </w:t>
            </w:r>
          </w:p>
        </w:tc>
        <w:tc>
          <w:tcPr>
            <w:tcW w:w="1134" w:type="dxa"/>
            <w:vAlign w:val="bottom"/>
          </w:tcPr>
          <w:p w:rsidR="00480737" w:rsidP="00480737" w:rsidRDefault="00480737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5,930.45 </w:t>
            </w:r>
          </w:p>
        </w:tc>
        <w:tc>
          <w:tcPr>
            <w:tcW w:w="1276" w:type="dxa"/>
            <w:vAlign w:val="bottom"/>
          </w:tcPr>
          <w:p w:rsidRPr="00D17651" w:rsidR="00480737" w:rsidP="00480737" w:rsidRDefault="00480737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10,</w:t>
            </w:r>
            <w:r>
              <w:rPr>
                <w:rFonts w:ascii="Arial" w:hAnsi="Arial" w:cs="Arial"/>
                <w:color w:val="000000"/>
                <w:sz w:val="22"/>
              </w:rPr>
              <w:t>149.37</w:t>
            </w:r>
          </w:p>
        </w:tc>
        <w:tc>
          <w:tcPr>
            <w:tcW w:w="1464" w:type="dxa"/>
            <w:vAlign w:val="bottom"/>
          </w:tcPr>
          <w:p w:rsidRPr="00D17651" w:rsidR="00480737" w:rsidP="00480737" w:rsidRDefault="0048073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B</w:t>
            </w:r>
          </w:p>
        </w:tc>
      </w:tr>
      <w:tr w:rsidR="00167A80" w:rsidTr="00FD54EE">
        <w:tc>
          <w:tcPr>
            <w:tcW w:w="4394" w:type="dxa"/>
            <w:tcBorders>
              <w:bottom w:val="single" w:color="auto" w:sz="4" w:space="0"/>
            </w:tcBorders>
            <w:vAlign w:val="bottom"/>
          </w:tcPr>
          <w:p w:rsidRPr="00D17651" w:rsidR="00167A80" w:rsidP="00167A80" w:rsidRDefault="00167A80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No. 3&amp;4 year olds accessing additional hrs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bottom"/>
          </w:tcPr>
          <w:p w:rsidR="00167A80" w:rsidP="00167A80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221.60 </w:t>
            </w:r>
          </w:p>
        </w:tc>
        <w:tc>
          <w:tcPr>
            <w:tcW w:w="1087" w:type="dxa"/>
            <w:tcBorders>
              <w:bottom w:val="single" w:color="auto" w:sz="4" w:space="0"/>
            </w:tcBorders>
            <w:vAlign w:val="bottom"/>
          </w:tcPr>
          <w:p w:rsidR="00167A80" w:rsidP="00167A80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599.14 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bottom"/>
          </w:tcPr>
          <w:p w:rsidR="00167A80" w:rsidP="00167A80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2,909.91 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:rsidRPr="00D17651" w:rsidR="00167A80" w:rsidP="00167A80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3,730.66</w:t>
            </w:r>
          </w:p>
        </w:tc>
        <w:tc>
          <w:tcPr>
            <w:tcW w:w="1464" w:type="dxa"/>
            <w:tcBorders>
              <w:bottom w:val="single" w:color="auto" w:sz="4" w:space="0"/>
            </w:tcBorders>
            <w:vAlign w:val="center"/>
          </w:tcPr>
          <w:p w:rsidRPr="00D17651" w:rsidR="00167A80" w:rsidP="00167A80" w:rsidRDefault="00167A80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C</w:t>
            </w:r>
          </w:p>
        </w:tc>
      </w:tr>
      <w:tr w:rsidRPr="00D17651" w:rsidR="00DC6633" w:rsidTr="00FD54EE">
        <w:trPr>
          <w:gridAfter w:val="1"/>
          <w:wAfter w:w="1464" w:type="dxa"/>
        </w:trPr>
        <w:tc>
          <w:tcPr>
            <w:tcW w:w="4394" w:type="dxa"/>
            <w:shd w:val="clear" w:color="auto" w:fill="BFBFBF" w:themeFill="background1" w:themeFillShade="BF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1087" w:type="dxa"/>
            <w:shd w:val="clear" w:color="auto" w:fill="BFBFBF" w:themeFill="background1" w:themeFillShade="BF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 </w:t>
            </w:r>
          </w:p>
        </w:tc>
      </w:tr>
      <w:tr w:rsidRPr="00D17651"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b/>
                <w:bCs/>
                <w:color w:val="000000"/>
                <w:sz w:val="22"/>
                <w:u w:val="single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  <w:u w:val="single"/>
              </w:rPr>
              <w:t>Delegated funding</w:t>
            </w: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£m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£m</w:t>
            </w: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£m</w:t>
            </w:r>
          </w:p>
        </w:tc>
        <w:tc>
          <w:tcPr>
            <w:tcW w:w="1276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£m</w:t>
            </w:r>
          </w:p>
        </w:tc>
      </w:tr>
      <w:tr w:rsidR="00DC6633" w:rsidTr="00FD54EE"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Universal allocation</w:t>
            </w:r>
          </w:p>
        </w:tc>
        <w:tc>
          <w:tcPr>
            <w:tcW w:w="993" w:type="dxa"/>
            <w:vAlign w:val="bottom"/>
          </w:tcPr>
          <w:p w:rsidRPr="00D17651" w:rsidR="00DC6633" w:rsidP="00DC6633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1.682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8.326</w:t>
            </w:r>
          </w:p>
        </w:tc>
        <w:tc>
          <w:tcPr>
            <w:tcW w:w="1134" w:type="dxa"/>
            <w:vAlign w:val="bottom"/>
          </w:tcPr>
          <w:p w:rsidRPr="00D17651" w:rsidR="00DC6633" w:rsidP="00DC6633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13.792</w:t>
            </w:r>
          </w:p>
        </w:tc>
        <w:tc>
          <w:tcPr>
            <w:tcW w:w="1276" w:type="dxa"/>
            <w:vAlign w:val="bottom"/>
          </w:tcPr>
          <w:p w:rsidRPr="00D17651" w:rsidR="00DC6633" w:rsidP="00167A80" w:rsidRDefault="00B00FC1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2</w:t>
            </w:r>
            <w:r w:rsidR="00167A80">
              <w:rPr>
                <w:rFonts w:ascii="Arial" w:hAnsi="Arial" w:cs="Arial"/>
                <w:color w:val="000000"/>
                <w:sz w:val="22"/>
              </w:rPr>
              <w:t>3</w:t>
            </w:r>
            <w:r w:rsidRPr="00D17651">
              <w:rPr>
                <w:rFonts w:ascii="Arial" w:hAnsi="Arial" w:cs="Arial"/>
                <w:color w:val="000000"/>
                <w:sz w:val="22"/>
              </w:rPr>
              <w:t>.</w:t>
            </w:r>
            <w:r w:rsidR="00167A80">
              <w:rPr>
                <w:rFonts w:ascii="Arial" w:hAnsi="Arial" w:cs="Arial"/>
                <w:color w:val="000000"/>
                <w:sz w:val="22"/>
              </w:rPr>
              <w:t>800</w:t>
            </w:r>
          </w:p>
        </w:tc>
        <w:tc>
          <w:tcPr>
            <w:tcW w:w="1464" w:type="dxa"/>
            <w:vAlign w:val="bottom"/>
          </w:tcPr>
          <w:p w:rsidRPr="00FE3274" w:rsidR="00DC6633" w:rsidP="00DC6633" w:rsidRDefault="00DC6633">
            <w:pPr>
              <w:ind w:left="-14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274">
              <w:rPr>
                <w:rFonts w:ascii="Arial" w:hAnsi="Arial" w:cs="Arial"/>
                <w:color w:val="000000"/>
                <w:sz w:val="18"/>
                <w:szCs w:val="18"/>
              </w:rPr>
              <w:t>= AxBx570hrs</w:t>
            </w:r>
          </w:p>
        </w:tc>
      </w:tr>
      <w:tr w:rsidR="00DC6633" w:rsidTr="00FD54EE"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Additional hours allocation</w:t>
            </w:r>
          </w:p>
        </w:tc>
        <w:tc>
          <w:tcPr>
            <w:tcW w:w="993" w:type="dxa"/>
            <w:vAlign w:val="bottom"/>
          </w:tcPr>
          <w:p w:rsidRPr="00D17651" w:rsidR="00DC6633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0.584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1.393</w:t>
            </w:r>
          </w:p>
        </w:tc>
        <w:tc>
          <w:tcPr>
            <w:tcW w:w="1134" w:type="dxa"/>
            <w:vAlign w:val="bottom"/>
          </w:tcPr>
          <w:p w:rsidRPr="00D17651" w:rsidR="007969DD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6.767</w:t>
            </w:r>
          </w:p>
        </w:tc>
        <w:tc>
          <w:tcPr>
            <w:tcW w:w="1276" w:type="dxa"/>
            <w:vAlign w:val="bottom"/>
          </w:tcPr>
          <w:p w:rsidRPr="00D17651" w:rsidR="00DC6633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8.744</w:t>
            </w:r>
          </w:p>
        </w:tc>
        <w:tc>
          <w:tcPr>
            <w:tcW w:w="1464" w:type="dxa"/>
            <w:vAlign w:val="bottom"/>
          </w:tcPr>
          <w:p w:rsidRPr="00FE3274" w:rsidR="00DC6633" w:rsidP="00DC6633" w:rsidRDefault="00DC6633">
            <w:pPr>
              <w:ind w:left="-14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274">
              <w:rPr>
                <w:rFonts w:ascii="Arial" w:hAnsi="Arial" w:cs="Arial"/>
                <w:color w:val="000000"/>
                <w:sz w:val="18"/>
                <w:szCs w:val="18"/>
              </w:rPr>
              <w:t>= AxCx570 hrs</w:t>
            </w:r>
          </w:p>
        </w:tc>
      </w:tr>
      <w:tr w:rsidRPr="00F260F6"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D17651">
              <w:rPr>
                <w:rFonts w:ascii="Arial" w:hAnsi="Arial" w:cs="Arial"/>
                <w:color w:val="000000"/>
                <w:sz w:val="22"/>
              </w:rPr>
              <w:t>Sub tot</w:t>
            </w:r>
            <w:r w:rsidR="000B64CA">
              <w:rPr>
                <w:rFonts w:ascii="Arial" w:hAnsi="Arial" w:cs="Arial"/>
                <w:color w:val="000000"/>
                <w:sz w:val="22"/>
              </w:rPr>
              <w:t>al</w:t>
            </w:r>
            <w:proofErr w:type="spellEnd"/>
            <w:r w:rsidRPr="00D17651">
              <w:rPr>
                <w:rFonts w:ascii="Arial" w:hAnsi="Arial" w:cs="Arial"/>
                <w:color w:val="000000"/>
                <w:sz w:val="22"/>
              </w:rPr>
              <w:t xml:space="preserve"> - hourly rate allocations</w:t>
            </w:r>
          </w:p>
        </w:tc>
        <w:tc>
          <w:tcPr>
            <w:tcW w:w="993" w:type="dxa"/>
            <w:vAlign w:val="bottom"/>
          </w:tcPr>
          <w:p w:rsidRPr="00D17651" w:rsidR="00DC6633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2.266</w:t>
            </w:r>
          </w:p>
        </w:tc>
        <w:tc>
          <w:tcPr>
            <w:tcW w:w="1087" w:type="dxa"/>
            <w:vAlign w:val="bottom"/>
          </w:tcPr>
          <w:p w:rsidRPr="00D17651" w:rsidR="00DC6633" w:rsidP="00167A80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9.719</w:t>
            </w:r>
          </w:p>
        </w:tc>
        <w:tc>
          <w:tcPr>
            <w:tcW w:w="1134" w:type="dxa"/>
            <w:vAlign w:val="bottom"/>
          </w:tcPr>
          <w:p w:rsidRPr="00D17651" w:rsidR="00DC6633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20.559</w:t>
            </w:r>
          </w:p>
        </w:tc>
        <w:tc>
          <w:tcPr>
            <w:tcW w:w="1276" w:type="dxa"/>
            <w:vAlign w:val="bottom"/>
          </w:tcPr>
          <w:p w:rsidRPr="00D17651" w:rsidR="00DC6633" w:rsidP="007969DD" w:rsidRDefault="00167A80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32.544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Formula supplements:</w:t>
            </w: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ind w:firstLine="220" w:firstLineChars="100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Lump sum</w:t>
            </w: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0.719 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276" w:type="dxa"/>
            <w:vAlign w:val="bottom"/>
          </w:tcPr>
          <w:p w:rsidRPr="00D17651" w:rsidR="00DC6633" w:rsidP="00B00FC1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0.71</w:t>
            </w:r>
            <w:r w:rsidRPr="00D17651" w:rsidR="00B00FC1">
              <w:rPr>
                <w:rFonts w:ascii="Arial" w:hAnsi="Arial" w:cs="Arial"/>
                <w:color w:val="000000"/>
                <w:sz w:val="22"/>
              </w:rPr>
              <w:t>9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ind w:firstLine="220" w:firstLineChars="100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Deprivation</w:t>
            </w:r>
          </w:p>
        </w:tc>
        <w:tc>
          <w:tcPr>
            <w:tcW w:w="993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0.0</w:t>
            </w:r>
            <w:r w:rsidR="007969DD">
              <w:rPr>
                <w:rFonts w:ascii="Arial" w:hAnsi="Arial" w:cs="Arial"/>
                <w:color w:val="000000"/>
                <w:sz w:val="22"/>
              </w:rPr>
              <w:t>54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087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0.5</w:t>
            </w:r>
            <w:r w:rsidR="007969DD">
              <w:rPr>
                <w:rFonts w:ascii="Arial" w:hAnsi="Arial" w:cs="Arial"/>
                <w:color w:val="000000"/>
                <w:sz w:val="22"/>
              </w:rPr>
              <w:t>08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0.3</w:t>
            </w:r>
            <w:r w:rsidR="007969DD">
              <w:rPr>
                <w:rFonts w:ascii="Arial" w:hAnsi="Arial" w:cs="Arial"/>
                <w:color w:val="000000"/>
                <w:sz w:val="22"/>
              </w:rPr>
              <w:t>25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</w:t>
            </w:r>
            <w:r w:rsidR="007969DD">
              <w:rPr>
                <w:rFonts w:ascii="Arial" w:hAnsi="Arial" w:cs="Arial"/>
                <w:color w:val="000000"/>
                <w:sz w:val="22"/>
              </w:rPr>
              <w:t>887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ind w:firstLine="220" w:firstLineChars="100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Rates</w:t>
            </w:r>
          </w:p>
        </w:tc>
        <w:tc>
          <w:tcPr>
            <w:tcW w:w="993" w:type="dxa"/>
            <w:vAlign w:val="bottom"/>
          </w:tcPr>
          <w:p w:rsidRPr="00D17651" w:rsidR="00DC6633" w:rsidP="00167A80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0.05</w:t>
            </w:r>
            <w:r w:rsidR="00167A80">
              <w:rPr>
                <w:rFonts w:ascii="Arial" w:hAnsi="Arial" w:cs="Arial"/>
                <w:color w:val="000000"/>
                <w:sz w:val="22"/>
              </w:rPr>
              <w:t>8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276" w:type="dxa"/>
            <w:vAlign w:val="bottom"/>
          </w:tcPr>
          <w:p w:rsidRPr="00D17651" w:rsidR="00DC6633" w:rsidP="00167A80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0.05</w:t>
            </w:r>
            <w:r w:rsidR="00167A80">
              <w:rPr>
                <w:rFonts w:ascii="Arial" w:hAnsi="Arial" w:cs="Arial"/>
                <w:color w:val="000000"/>
                <w:sz w:val="22"/>
              </w:rPr>
              <w:t>8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0B64CA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</w:rPr>
              <w:t>Sub total</w:t>
            </w:r>
            <w:proofErr w:type="spellEnd"/>
            <w:r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D17651" w:rsidR="00DC6633">
              <w:rPr>
                <w:rFonts w:ascii="Arial" w:hAnsi="Arial" w:cs="Arial"/>
                <w:color w:val="000000"/>
                <w:sz w:val="22"/>
              </w:rPr>
              <w:t>- formula supplements</w:t>
            </w:r>
          </w:p>
        </w:tc>
        <w:tc>
          <w:tcPr>
            <w:tcW w:w="993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0.8</w:t>
            </w:r>
            <w:r w:rsidR="00480737">
              <w:rPr>
                <w:rFonts w:ascii="Arial" w:hAnsi="Arial" w:cs="Arial"/>
                <w:color w:val="000000"/>
                <w:sz w:val="22"/>
              </w:rPr>
              <w:t>31</w:t>
            </w:r>
          </w:p>
        </w:tc>
        <w:tc>
          <w:tcPr>
            <w:tcW w:w="1087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0.5</w:t>
            </w:r>
            <w:r w:rsidR="007969DD">
              <w:rPr>
                <w:rFonts w:ascii="Arial" w:hAnsi="Arial" w:cs="Arial"/>
                <w:color w:val="000000"/>
                <w:sz w:val="22"/>
              </w:rPr>
              <w:t>08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Pr="00D17651" w:rsidR="00DC6633" w:rsidP="007969DD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0.3</w:t>
            </w:r>
            <w:r w:rsidR="007969DD">
              <w:rPr>
                <w:rFonts w:ascii="Arial" w:hAnsi="Arial" w:cs="Arial"/>
                <w:color w:val="000000"/>
                <w:sz w:val="22"/>
              </w:rPr>
              <w:t>25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1.6</w:t>
            </w:r>
            <w:r w:rsidR="007969DD">
              <w:rPr>
                <w:rFonts w:ascii="Arial" w:hAnsi="Arial" w:cs="Arial"/>
                <w:color w:val="000000"/>
                <w:sz w:val="22"/>
              </w:rPr>
              <w:t>6</w:t>
            </w:r>
            <w:r w:rsidR="00480737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Contingency – treated as delegated</w:t>
            </w:r>
          </w:p>
        </w:tc>
        <w:tc>
          <w:tcPr>
            <w:tcW w:w="993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0.0</w:t>
            </w:r>
            <w:r w:rsidR="00167A80">
              <w:rPr>
                <w:rFonts w:ascii="Arial" w:hAnsi="Arial" w:cs="Arial"/>
                <w:color w:val="000000"/>
                <w:sz w:val="22"/>
              </w:rPr>
              <w:t>4</w:t>
            </w:r>
            <w:r w:rsidR="00480737">
              <w:rPr>
                <w:rFonts w:ascii="Arial" w:hAnsi="Arial" w:cs="Arial"/>
                <w:color w:val="000000"/>
                <w:sz w:val="22"/>
              </w:rPr>
              <w:t>0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 xml:space="preserve">0.000 </w:t>
            </w:r>
          </w:p>
        </w:tc>
        <w:tc>
          <w:tcPr>
            <w:tcW w:w="1276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D17651">
              <w:rPr>
                <w:rFonts w:ascii="Arial" w:hAnsi="Arial" w:cs="Arial"/>
                <w:color w:val="000000"/>
                <w:sz w:val="22"/>
              </w:rPr>
              <w:t>0.0</w:t>
            </w:r>
            <w:r w:rsidR="00167A80">
              <w:rPr>
                <w:rFonts w:ascii="Arial" w:hAnsi="Arial" w:cs="Arial"/>
                <w:color w:val="000000"/>
                <w:sz w:val="22"/>
              </w:rPr>
              <w:t>4</w:t>
            </w:r>
            <w:r w:rsidR="00480737">
              <w:rPr>
                <w:rFonts w:ascii="Arial" w:hAnsi="Arial" w:cs="Arial"/>
                <w:color w:val="000000"/>
                <w:sz w:val="22"/>
              </w:rPr>
              <w:t>0</w:t>
            </w:r>
            <w:r w:rsidRPr="00D17651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993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087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13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6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  <w:tr w:rsidR="00DC6633" w:rsidTr="00FD54EE">
        <w:trPr>
          <w:gridAfter w:val="1"/>
          <w:wAfter w:w="1464" w:type="dxa"/>
        </w:trPr>
        <w:tc>
          <w:tcPr>
            <w:tcW w:w="4394" w:type="dxa"/>
            <w:vAlign w:val="bottom"/>
          </w:tcPr>
          <w:p w:rsidRPr="00D17651" w:rsidR="00DC6633" w:rsidP="00DC6633" w:rsidRDefault="00DC663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Total delegated funding</w:t>
            </w:r>
          </w:p>
        </w:tc>
        <w:tc>
          <w:tcPr>
            <w:tcW w:w="993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3.</w:t>
            </w:r>
            <w:r w:rsidR="00480737">
              <w:rPr>
                <w:rFonts w:ascii="Arial" w:hAnsi="Arial" w:cs="Arial"/>
                <w:b/>
                <w:bCs/>
                <w:color w:val="000000"/>
                <w:sz w:val="22"/>
              </w:rPr>
              <w:t>137</w:t>
            </w:r>
          </w:p>
        </w:tc>
        <w:tc>
          <w:tcPr>
            <w:tcW w:w="1087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1</w:t>
            </w:r>
            <w:r w:rsidR="00480737">
              <w:rPr>
                <w:rFonts w:ascii="Arial" w:hAnsi="Arial" w:cs="Arial"/>
                <w:b/>
                <w:bCs/>
                <w:color w:val="000000"/>
                <w:sz w:val="22"/>
              </w:rPr>
              <w:t>0.227</w:t>
            </w:r>
          </w:p>
        </w:tc>
        <w:tc>
          <w:tcPr>
            <w:tcW w:w="1134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2</w:t>
            </w:r>
            <w:r w:rsidR="00480737">
              <w:rPr>
                <w:rFonts w:ascii="Arial" w:hAnsi="Arial" w:cs="Arial"/>
                <w:b/>
                <w:bCs/>
                <w:color w:val="000000"/>
                <w:sz w:val="22"/>
              </w:rPr>
              <w:t>0.884</w:t>
            </w:r>
          </w:p>
        </w:tc>
        <w:tc>
          <w:tcPr>
            <w:tcW w:w="1276" w:type="dxa"/>
            <w:vAlign w:val="bottom"/>
          </w:tcPr>
          <w:p w:rsidRPr="00D17651" w:rsidR="00DC6633" w:rsidP="00480737" w:rsidRDefault="00DC6633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3</w:t>
            </w:r>
            <w:r w:rsidR="00480737">
              <w:rPr>
                <w:rFonts w:ascii="Arial" w:hAnsi="Arial" w:cs="Arial"/>
                <w:b/>
                <w:bCs/>
                <w:color w:val="000000"/>
                <w:sz w:val="22"/>
              </w:rPr>
              <w:t>4</w:t>
            </w:r>
            <w:r w:rsidRPr="00D17651">
              <w:rPr>
                <w:rFonts w:ascii="Arial" w:hAnsi="Arial" w:cs="Arial"/>
                <w:b/>
                <w:bCs/>
                <w:color w:val="000000"/>
                <w:sz w:val="22"/>
              </w:rPr>
              <w:t>.</w:t>
            </w:r>
            <w:r w:rsidR="00480737">
              <w:rPr>
                <w:rFonts w:ascii="Arial" w:hAnsi="Arial" w:cs="Arial"/>
                <w:b/>
                <w:bCs/>
                <w:color w:val="000000"/>
                <w:sz w:val="22"/>
              </w:rPr>
              <w:t>248</w:t>
            </w:r>
          </w:p>
        </w:tc>
      </w:tr>
    </w:tbl>
    <w:p w:rsidR="002511FF" w:rsidP="005E3C8F" w:rsidRDefault="002511FF">
      <w:pPr>
        <w:ind w:left="1418" w:hanging="1134"/>
        <w:rPr>
          <w:rFonts w:ascii="Arial" w:hAnsi="Arial" w:cs="Arial"/>
          <w:b/>
          <w:sz w:val="26"/>
          <w:szCs w:val="26"/>
        </w:rPr>
      </w:pPr>
    </w:p>
    <w:p w:rsidR="00167A80" w:rsidP="00167A80" w:rsidRDefault="00167A80">
      <w:pPr>
        <w:ind w:left="284"/>
        <w:rPr>
          <w:rFonts w:ascii="Arial" w:hAnsi="Arial" w:cs="Arial"/>
          <w:sz w:val="26"/>
          <w:szCs w:val="26"/>
        </w:rPr>
      </w:pPr>
      <w:r w:rsidRPr="002511FF">
        <w:rPr>
          <w:rFonts w:ascii="Arial" w:hAnsi="Arial" w:cs="Arial"/>
          <w:sz w:val="26"/>
          <w:szCs w:val="26"/>
        </w:rPr>
        <w:t>The allocations for 201</w:t>
      </w:r>
      <w:r w:rsidR="00480737">
        <w:rPr>
          <w:rFonts w:ascii="Arial" w:hAnsi="Arial" w:cs="Arial"/>
          <w:sz w:val="26"/>
          <w:szCs w:val="26"/>
        </w:rPr>
        <w:t>9</w:t>
      </w:r>
      <w:r w:rsidRPr="002511FF">
        <w:rPr>
          <w:rFonts w:ascii="Arial" w:hAnsi="Arial" w:cs="Arial"/>
          <w:sz w:val="26"/>
          <w:szCs w:val="26"/>
        </w:rPr>
        <w:t>-</w:t>
      </w:r>
      <w:r w:rsidR="00480737">
        <w:rPr>
          <w:rFonts w:ascii="Arial" w:hAnsi="Arial" w:cs="Arial"/>
          <w:sz w:val="26"/>
          <w:szCs w:val="26"/>
        </w:rPr>
        <w:t xml:space="preserve">20 in Table 3 </w:t>
      </w:r>
      <w:r w:rsidRPr="002511FF">
        <w:rPr>
          <w:rFonts w:ascii="Arial" w:hAnsi="Arial" w:cs="Arial"/>
          <w:sz w:val="26"/>
          <w:szCs w:val="26"/>
        </w:rPr>
        <w:t>reflect the following:</w:t>
      </w:r>
    </w:p>
    <w:p w:rsidR="00167A80" w:rsidP="00167A80" w:rsidRDefault="00167A80">
      <w:pPr>
        <w:ind w:left="1418" w:hanging="1134"/>
        <w:rPr>
          <w:rFonts w:ascii="Arial" w:hAnsi="Arial" w:cs="Arial"/>
          <w:sz w:val="26"/>
          <w:szCs w:val="26"/>
        </w:rPr>
      </w:pPr>
    </w:p>
    <w:p w:rsidR="00167A80" w:rsidP="00167A80" w:rsidRDefault="00167A80">
      <w:pPr>
        <w:pStyle w:val="ListParagraph"/>
        <w:numPr>
          <w:ilvl w:val="0"/>
          <w:numId w:val="41"/>
        </w:numPr>
        <w:ind w:hanging="654"/>
        <w:rPr>
          <w:rFonts w:ascii="Arial" w:hAnsi="Arial" w:cs="Arial"/>
          <w:sz w:val="26"/>
          <w:szCs w:val="26"/>
        </w:rPr>
      </w:pPr>
      <w:r w:rsidRPr="00340F40">
        <w:rPr>
          <w:rFonts w:ascii="Arial" w:hAnsi="Arial" w:cs="Arial"/>
          <w:sz w:val="26"/>
          <w:szCs w:val="26"/>
        </w:rPr>
        <w:t xml:space="preserve">An increase in the basic hourly rate </w:t>
      </w:r>
      <w:r>
        <w:rPr>
          <w:rFonts w:ascii="Arial" w:hAnsi="Arial" w:cs="Arial"/>
          <w:sz w:val="26"/>
          <w:szCs w:val="26"/>
        </w:rPr>
        <w:t xml:space="preserve">to all providers </w:t>
      </w:r>
      <w:r w:rsidRPr="00340F40">
        <w:rPr>
          <w:rFonts w:ascii="Arial" w:hAnsi="Arial" w:cs="Arial"/>
          <w:sz w:val="26"/>
          <w:szCs w:val="26"/>
        </w:rPr>
        <w:t>from £4.0</w:t>
      </w:r>
      <w:r w:rsidR="00480737">
        <w:rPr>
          <w:rFonts w:ascii="Arial" w:hAnsi="Arial" w:cs="Arial"/>
          <w:sz w:val="26"/>
          <w:szCs w:val="26"/>
        </w:rPr>
        <w:t>3</w:t>
      </w:r>
      <w:r w:rsidRPr="00340F40">
        <w:rPr>
          <w:rFonts w:ascii="Arial" w:hAnsi="Arial" w:cs="Arial"/>
          <w:sz w:val="26"/>
          <w:szCs w:val="26"/>
        </w:rPr>
        <w:t xml:space="preserve"> to £4.0</w:t>
      </w:r>
      <w:r w:rsidR="00480737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>;</w:t>
      </w:r>
    </w:p>
    <w:p w:rsidR="00167A80" w:rsidP="00167A80" w:rsidRDefault="00480737">
      <w:pPr>
        <w:pStyle w:val="ListParagraph"/>
        <w:numPr>
          <w:ilvl w:val="0"/>
          <w:numId w:val="41"/>
        </w:numPr>
        <w:ind w:hanging="65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Removal of the current £0.27 per hour </w:t>
      </w:r>
      <w:r w:rsidR="00167A80">
        <w:rPr>
          <w:rFonts w:ascii="Arial" w:hAnsi="Arial" w:cs="Arial"/>
          <w:sz w:val="26"/>
          <w:szCs w:val="26"/>
        </w:rPr>
        <w:t>nursery unit supplement;</w:t>
      </w:r>
      <w:r>
        <w:rPr>
          <w:rFonts w:ascii="Arial" w:hAnsi="Arial" w:cs="Arial"/>
          <w:sz w:val="26"/>
          <w:szCs w:val="26"/>
        </w:rPr>
        <w:t xml:space="preserve"> </w:t>
      </w:r>
    </w:p>
    <w:p w:rsidR="00167A80" w:rsidP="00167A80" w:rsidRDefault="00167A80">
      <w:pPr>
        <w:pStyle w:val="ListParagraph"/>
        <w:numPr>
          <w:ilvl w:val="0"/>
          <w:numId w:val="41"/>
        </w:numPr>
        <w:ind w:hanging="65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nursery school enhanced rate </w:t>
      </w:r>
      <w:r w:rsidR="003A3FE5">
        <w:rPr>
          <w:rFonts w:ascii="Arial" w:hAnsi="Arial" w:cs="Arial"/>
          <w:sz w:val="26"/>
          <w:szCs w:val="26"/>
        </w:rPr>
        <w:t xml:space="preserve">would </w:t>
      </w:r>
      <w:r>
        <w:rPr>
          <w:rFonts w:ascii="Arial" w:hAnsi="Arial" w:cs="Arial"/>
          <w:sz w:val="26"/>
          <w:szCs w:val="26"/>
        </w:rPr>
        <w:t>be set at £0.5</w:t>
      </w:r>
      <w:r w:rsidR="00480737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per hour, thereby maintaining the overall £4.62 per hour funding rate</w:t>
      </w:r>
      <w:r w:rsidR="002B7969">
        <w:rPr>
          <w:rFonts w:ascii="Arial" w:hAnsi="Arial" w:cs="Arial"/>
          <w:sz w:val="26"/>
          <w:szCs w:val="26"/>
        </w:rPr>
        <w:t>.</w:t>
      </w:r>
    </w:p>
    <w:p w:rsidR="00B95792" w:rsidP="00167A80" w:rsidRDefault="00B95792">
      <w:pPr>
        <w:pStyle w:val="ListParagraph"/>
        <w:numPr>
          <w:ilvl w:val="0"/>
          <w:numId w:val="41"/>
        </w:numPr>
        <w:ind w:hanging="65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Nursery </w:t>
      </w:r>
      <w:r w:rsidR="001A677B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>chools’ rates – an allowance has been made to cover inflation;</w:t>
      </w:r>
    </w:p>
    <w:p w:rsidR="00B95792" w:rsidP="00167A80" w:rsidRDefault="00B95792">
      <w:pPr>
        <w:pStyle w:val="ListParagraph"/>
        <w:numPr>
          <w:ilvl w:val="0"/>
          <w:numId w:val="41"/>
        </w:numPr>
        <w:ind w:hanging="65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 other formula multipliers have been kept at 2018-19 levels.</w:t>
      </w:r>
    </w:p>
    <w:p w:rsidR="00167A80" w:rsidP="005D7B3D" w:rsidRDefault="00167A80">
      <w:pPr>
        <w:ind w:left="284"/>
        <w:rPr>
          <w:rFonts w:ascii="Arial" w:hAnsi="Arial" w:cs="Arial"/>
          <w:sz w:val="26"/>
          <w:szCs w:val="26"/>
        </w:rPr>
      </w:pPr>
    </w:p>
    <w:p w:rsidR="002B7969" w:rsidP="005D7B3D" w:rsidRDefault="00FD54EE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universal rate of £4.08 per hour is very slightly (£0.01) lower than previous planning estimates due to the </w:t>
      </w:r>
      <w:r w:rsidR="00D32EF4">
        <w:rPr>
          <w:rFonts w:ascii="Arial" w:hAnsi="Arial" w:cs="Arial"/>
          <w:sz w:val="26"/>
          <w:szCs w:val="26"/>
        </w:rPr>
        <w:t>reduction in expected income</w:t>
      </w:r>
      <w:r>
        <w:rPr>
          <w:rFonts w:ascii="Arial" w:hAnsi="Arial" w:cs="Arial"/>
          <w:sz w:val="26"/>
          <w:szCs w:val="26"/>
        </w:rPr>
        <w:t xml:space="preserve">. </w:t>
      </w:r>
      <w:r w:rsidR="002B7969">
        <w:rPr>
          <w:rFonts w:ascii="Arial" w:hAnsi="Arial" w:cs="Arial"/>
          <w:sz w:val="26"/>
          <w:szCs w:val="26"/>
        </w:rPr>
        <w:t xml:space="preserve">Any increase to the rate </w:t>
      </w:r>
      <w:r w:rsidR="00B95792">
        <w:rPr>
          <w:rFonts w:ascii="Arial" w:hAnsi="Arial" w:cs="Arial"/>
          <w:sz w:val="26"/>
          <w:szCs w:val="26"/>
        </w:rPr>
        <w:t xml:space="preserve">over above the </w:t>
      </w:r>
      <w:r w:rsidR="002B7969">
        <w:rPr>
          <w:rFonts w:ascii="Arial" w:hAnsi="Arial" w:cs="Arial"/>
          <w:sz w:val="26"/>
          <w:szCs w:val="26"/>
        </w:rPr>
        <w:t>£4.08 per hour could only be achieved by one or more of the following:</w:t>
      </w: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="002B7969" w:rsidP="002B7969" w:rsidRDefault="002B7969">
      <w:pPr>
        <w:pStyle w:val="ListParagraph"/>
        <w:numPr>
          <w:ilvl w:val="0"/>
          <w:numId w:val="4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Additional funding in the December 2018 government settlement;</w:t>
      </w:r>
    </w:p>
    <w:p w:rsidR="002B7969" w:rsidP="002B7969" w:rsidRDefault="00B95792">
      <w:pPr>
        <w:pStyle w:val="ListParagraph"/>
        <w:numPr>
          <w:ilvl w:val="0"/>
          <w:numId w:val="4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r</w:t>
      </w:r>
      <w:r w:rsidR="002B7969">
        <w:rPr>
          <w:rFonts w:ascii="Arial" w:hAnsi="Arial" w:cs="Arial"/>
          <w:sz w:val="26"/>
          <w:szCs w:val="26"/>
        </w:rPr>
        <w:t>eduction in one or more early years multipliers;</w:t>
      </w:r>
    </w:p>
    <w:p w:rsidR="002B7969" w:rsidP="002B7969" w:rsidRDefault="00B95792">
      <w:pPr>
        <w:pStyle w:val="ListParagraph"/>
        <w:numPr>
          <w:ilvl w:val="0"/>
          <w:numId w:val="4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r</w:t>
      </w:r>
      <w:r w:rsidR="002B7969">
        <w:rPr>
          <w:rFonts w:ascii="Arial" w:hAnsi="Arial" w:cs="Arial"/>
          <w:sz w:val="26"/>
          <w:szCs w:val="26"/>
        </w:rPr>
        <w:t xml:space="preserve">eduction in central Early Years budgets and services; </w:t>
      </w:r>
    </w:p>
    <w:p w:rsidR="002B7969" w:rsidP="002B7969" w:rsidRDefault="00B95792">
      <w:pPr>
        <w:pStyle w:val="ListParagraph"/>
        <w:numPr>
          <w:ilvl w:val="0"/>
          <w:numId w:val="4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t</w:t>
      </w:r>
      <w:r w:rsidR="002B7969">
        <w:rPr>
          <w:rFonts w:ascii="Arial" w:hAnsi="Arial" w:cs="Arial"/>
          <w:sz w:val="26"/>
          <w:szCs w:val="26"/>
        </w:rPr>
        <w:t>ransfers from other DSG Blocks; and/or</w:t>
      </w:r>
    </w:p>
    <w:p w:rsidRPr="002B7969" w:rsidR="002B7969" w:rsidP="002B7969" w:rsidRDefault="002B7969">
      <w:pPr>
        <w:pStyle w:val="ListParagraph"/>
        <w:numPr>
          <w:ilvl w:val="0"/>
          <w:numId w:val="48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Use of DSG balances.</w:t>
      </w: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="002B7969" w:rsidP="005D7B3D" w:rsidRDefault="00B95792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 provide some context, a</w:t>
      </w:r>
      <w:r w:rsidR="002B7969">
        <w:rPr>
          <w:rFonts w:ascii="Arial" w:hAnsi="Arial" w:cs="Arial"/>
          <w:sz w:val="26"/>
          <w:szCs w:val="26"/>
        </w:rPr>
        <w:t xml:space="preserve">n additional £0.01 per hour on the universal rate </w:t>
      </w:r>
      <w:r>
        <w:rPr>
          <w:rFonts w:ascii="Arial" w:hAnsi="Arial" w:cs="Arial"/>
          <w:sz w:val="26"/>
          <w:szCs w:val="26"/>
        </w:rPr>
        <w:t xml:space="preserve">would cost around </w:t>
      </w:r>
      <w:r w:rsidR="00FA5A4B">
        <w:rPr>
          <w:rFonts w:ascii="Arial" w:hAnsi="Arial" w:cs="Arial"/>
          <w:sz w:val="26"/>
          <w:szCs w:val="26"/>
        </w:rPr>
        <w:t>£0.07</w:t>
      </w:r>
      <w:r w:rsidR="00692A19">
        <w:rPr>
          <w:rFonts w:ascii="Arial" w:hAnsi="Arial" w:cs="Arial"/>
          <w:sz w:val="26"/>
          <w:szCs w:val="26"/>
        </w:rPr>
        <w:t>4</w:t>
      </w:r>
      <w:r w:rsidR="00FA5A4B">
        <w:rPr>
          <w:rFonts w:ascii="Arial" w:hAnsi="Arial" w:cs="Arial"/>
          <w:sz w:val="26"/>
          <w:szCs w:val="26"/>
        </w:rPr>
        <w:t>m</w:t>
      </w:r>
      <w:r w:rsidR="00692A19">
        <w:rPr>
          <w:rFonts w:ascii="Arial" w:hAnsi="Arial" w:cs="Arial"/>
          <w:sz w:val="26"/>
          <w:szCs w:val="26"/>
        </w:rPr>
        <w:t>, assuming the nursery school rate stays at £4.62</w:t>
      </w:r>
      <w:r w:rsidR="00FA5A4B">
        <w:rPr>
          <w:rFonts w:ascii="Arial" w:hAnsi="Arial" w:cs="Arial"/>
          <w:sz w:val="26"/>
          <w:szCs w:val="26"/>
        </w:rPr>
        <w:t>.</w:t>
      </w:r>
      <w:bookmarkStart w:name="_GoBack" w:id="0"/>
      <w:bookmarkEnd w:id="0"/>
    </w:p>
    <w:p w:rsidR="00F25560" w:rsidP="005D7B3D" w:rsidRDefault="00F25560">
      <w:pPr>
        <w:ind w:left="284"/>
        <w:rPr>
          <w:rFonts w:ascii="Arial" w:hAnsi="Arial" w:cs="Arial"/>
          <w:sz w:val="26"/>
          <w:szCs w:val="26"/>
        </w:rPr>
      </w:pPr>
    </w:p>
    <w:p w:rsidR="00F25560" w:rsidP="005D7B3D" w:rsidRDefault="00692A19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No changes to the Early Years Single Funding Formula </w:t>
      </w:r>
      <w:r w:rsidR="00F25560">
        <w:rPr>
          <w:rFonts w:ascii="Arial" w:hAnsi="Arial" w:cs="Arial"/>
          <w:sz w:val="26"/>
          <w:szCs w:val="26"/>
        </w:rPr>
        <w:t>are planned for 2019-20.</w:t>
      </w: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Pr="00456AD3" w:rsidR="002B7969" w:rsidP="002B7969" w:rsidRDefault="002B7969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456AD3">
        <w:rPr>
          <w:rFonts w:ascii="Arial" w:hAnsi="Arial" w:cs="Arial"/>
          <w:b/>
          <w:sz w:val="26"/>
          <w:szCs w:val="26"/>
        </w:rPr>
        <w:t>2.3.</w:t>
      </w:r>
      <w:r>
        <w:rPr>
          <w:rFonts w:ascii="Arial" w:hAnsi="Arial" w:cs="Arial"/>
          <w:b/>
          <w:sz w:val="26"/>
          <w:szCs w:val="26"/>
        </w:rPr>
        <w:t>3</w:t>
      </w:r>
      <w:r w:rsidRPr="00456AD3"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  <w:u w:val="single"/>
        </w:rPr>
        <w:t>Central allocations</w:t>
      </w: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approved central Early Years budgets for 2018-19 are shown in Table 4 below.</w:t>
      </w:r>
    </w:p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Pr="00FA5A4B" w:rsidR="00FA5A4B" w:rsidP="005D7B3D" w:rsidRDefault="00FA5A4B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FA5A4B">
        <w:rPr>
          <w:rFonts w:ascii="Arial" w:hAnsi="Arial" w:cs="Arial"/>
          <w:b/>
          <w:sz w:val="26"/>
          <w:szCs w:val="26"/>
          <w:u w:val="single"/>
        </w:rPr>
        <w:t>Table 4 – Early Years Central Budgets 2018-19</w:t>
      </w:r>
    </w:p>
    <w:p w:rsidR="00FA5A4B" w:rsidP="005D7B3D" w:rsidRDefault="00FA5A4B">
      <w:pPr>
        <w:ind w:left="284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686"/>
        <w:gridCol w:w="1148"/>
        <w:gridCol w:w="5372"/>
      </w:tblGrid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2018-19</w:t>
            </w:r>
          </w:p>
        </w:tc>
        <w:tc>
          <w:tcPr>
            <w:tcW w:w="5372" w:type="dxa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Service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£k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B7969">
              <w:rPr>
                <w:rFonts w:ascii="Arial" w:hAnsi="Arial" w:cs="Arial"/>
                <w:b/>
                <w:sz w:val="22"/>
              </w:rPr>
              <w:t>Service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Early Years Improvement Service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1,504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Provides support &amp; quality review of PVI settings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Early Years SEN service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415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Assessment of EY children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Every Child a Talker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55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To meet the  costs of the initiative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Early Help Offer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Contribution to reflect Early Help support to children in EY settings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Catering – nursery schools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63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Cost of provision of service to nursery schools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Broadband – nursery schools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Nursery schools share of central subsidy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 xml:space="preserve">Capital </w:t>
            </w:r>
            <w:proofErr w:type="spellStart"/>
            <w:r w:rsidRPr="002B7969">
              <w:rPr>
                <w:rFonts w:ascii="Arial" w:hAnsi="Arial" w:cs="Arial"/>
                <w:sz w:val="22"/>
              </w:rPr>
              <w:t>Mtce</w:t>
            </w:r>
            <w:proofErr w:type="spellEnd"/>
            <w:r w:rsidRPr="002B7969">
              <w:rPr>
                <w:rFonts w:ascii="Arial" w:hAnsi="Arial" w:cs="Arial"/>
                <w:sz w:val="22"/>
              </w:rPr>
              <w:t xml:space="preserve"> – nursery schools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Estimated share based on pupil numbers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Licensing – nursery schools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Estimated cost for sector</w:t>
            </w:r>
          </w:p>
        </w:tc>
      </w:tr>
      <w:tr w:rsidRPr="00D17651" w:rsidR="002B7969" w:rsidTr="00CC2F2B">
        <w:tc>
          <w:tcPr>
            <w:tcW w:w="3686" w:type="dxa"/>
            <w:vAlign w:val="center"/>
          </w:tcPr>
          <w:p w:rsidRPr="002B7969" w:rsidR="002B7969" w:rsidP="002B7969" w:rsidRDefault="002B7969">
            <w:pPr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Total</w:t>
            </w:r>
          </w:p>
        </w:tc>
        <w:tc>
          <w:tcPr>
            <w:tcW w:w="1148" w:type="dxa"/>
            <w:vAlign w:val="center"/>
          </w:tcPr>
          <w:p w:rsidRPr="002B7969" w:rsidR="002B7969" w:rsidP="002B7969" w:rsidRDefault="002B7969">
            <w:pPr>
              <w:jc w:val="right"/>
              <w:rPr>
                <w:rFonts w:ascii="Arial" w:hAnsi="Arial" w:cs="Arial"/>
                <w:sz w:val="22"/>
              </w:rPr>
            </w:pPr>
            <w:r w:rsidRPr="002B7969">
              <w:rPr>
                <w:rFonts w:ascii="Arial" w:hAnsi="Arial" w:cs="Arial"/>
                <w:sz w:val="22"/>
              </w:rPr>
              <w:t>2,144</w:t>
            </w:r>
          </w:p>
        </w:tc>
        <w:tc>
          <w:tcPr>
            <w:tcW w:w="5372" w:type="dxa"/>
            <w:vAlign w:val="center"/>
          </w:tcPr>
          <w:p w:rsidRPr="002B7969" w:rsidR="002B7969" w:rsidP="002B7969" w:rsidRDefault="002B796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2B7969" w:rsidP="005D7B3D" w:rsidRDefault="002B7969">
      <w:pPr>
        <w:ind w:left="284"/>
        <w:rPr>
          <w:rFonts w:ascii="Arial" w:hAnsi="Arial" w:cs="Arial"/>
          <w:sz w:val="26"/>
          <w:szCs w:val="26"/>
        </w:rPr>
      </w:pPr>
    </w:p>
    <w:p w:rsidR="006808B9" w:rsidP="005F493A" w:rsidRDefault="00FA5A4B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If the Authority were to hold the maximum 5% </w:t>
      </w:r>
      <w:r w:rsidR="006808B9">
        <w:rPr>
          <w:rFonts w:ascii="Arial" w:hAnsi="Arial" w:cs="Arial"/>
          <w:sz w:val="26"/>
          <w:szCs w:val="26"/>
        </w:rPr>
        <w:t xml:space="preserve">of annual income </w:t>
      </w:r>
      <w:r>
        <w:rPr>
          <w:rFonts w:ascii="Arial" w:hAnsi="Arial" w:cs="Arial"/>
          <w:sz w:val="26"/>
          <w:szCs w:val="26"/>
        </w:rPr>
        <w:t>permitted by the regulations this would equate to £1.741m</w:t>
      </w:r>
      <w:r w:rsidR="00BD7FF5">
        <w:rPr>
          <w:rFonts w:ascii="Arial" w:hAnsi="Arial" w:cs="Arial"/>
          <w:sz w:val="26"/>
          <w:szCs w:val="26"/>
        </w:rPr>
        <w:t xml:space="preserve"> in 2019-20</w:t>
      </w:r>
      <w:r>
        <w:rPr>
          <w:rFonts w:ascii="Arial" w:hAnsi="Arial" w:cs="Arial"/>
          <w:sz w:val="26"/>
          <w:szCs w:val="26"/>
        </w:rPr>
        <w:t xml:space="preserve">, £0.403m less than the budgets in Table 4.  </w:t>
      </w:r>
      <w:r w:rsidR="006808B9">
        <w:rPr>
          <w:rFonts w:ascii="Arial" w:hAnsi="Arial" w:cs="Arial"/>
          <w:sz w:val="26"/>
          <w:szCs w:val="26"/>
        </w:rPr>
        <w:t>Any spend in excess of this sum would have to be met from DSG reserves.</w:t>
      </w:r>
    </w:p>
    <w:p w:rsidR="006808B9" w:rsidP="005F493A" w:rsidRDefault="006808B9">
      <w:pPr>
        <w:ind w:left="284"/>
        <w:rPr>
          <w:rFonts w:ascii="Arial" w:hAnsi="Arial" w:cs="Arial"/>
          <w:sz w:val="26"/>
          <w:szCs w:val="26"/>
        </w:rPr>
      </w:pPr>
    </w:p>
    <w:p w:rsidR="00FA5A4B" w:rsidP="005F493A" w:rsidRDefault="00FA5A4B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It is proposed that £0.118m of the gap is closed by requiring nursery schools to pay for their own catering, broadband and capital maintenance costs</w:t>
      </w:r>
      <w:r w:rsidR="00F25560">
        <w:rPr>
          <w:rFonts w:ascii="Arial" w:hAnsi="Arial" w:cs="Arial"/>
          <w:sz w:val="26"/>
          <w:szCs w:val="26"/>
        </w:rPr>
        <w:t xml:space="preserve"> from next April</w:t>
      </w:r>
      <w:r>
        <w:rPr>
          <w:rFonts w:ascii="Arial" w:hAnsi="Arial" w:cs="Arial"/>
          <w:sz w:val="26"/>
          <w:szCs w:val="26"/>
        </w:rPr>
        <w:t>. This equates to a real ter</w:t>
      </w:r>
      <w:r w:rsidR="004E013E">
        <w:rPr>
          <w:rFonts w:ascii="Arial" w:hAnsi="Arial" w:cs="Arial"/>
          <w:sz w:val="26"/>
          <w:szCs w:val="26"/>
        </w:rPr>
        <w:t xml:space="preserve">ms cost pressure of around 3.8% and </w:t>
      </w:r>
      <w:r>
        <w:rPr>
          <w:rFonts w:ascii="Arial" w:hAnsi="Arial" w:cs="Arial"/>
          <w:sz w:val="26"/>
          <w:szCs w:val="26"/>
        </w:rPr>
        <w:t xml:space="preserve">would still leave a shortfall of £0.285m, equivalent to </w:t>
      </w:r>
      <w:r w:rsidR="00BD7FF5">
        <w:rPr>
          <w:rFonts w:ascii="Arial" w:hAnsi="Arial" w:cs="Arial"/>
          <w:sz w:val="26"/>
          <w:szCs w:val="26"/>
        </w:rPr>
        <w:t>~</w:t>
      </w:r>
      <w:r>
        <w:rPr>
          <w:rFonts w:ascii="Arial" w:hAnsi="Arial" w:cs="Arial"/>
          <w:sz w:val="26"/>
          <w:szCs w:val="26"/>
        </w:rPr>
        <w:t xml:space="preserve">14% of the remaining </w:t>
      </w:r>
      <w:r w:rsidR="004E013E">
        <w:rPr>
          <w:rFonts w:ascii="Arial" w:hAnsi="Arial" w:cs="Arial"/>
          <w:sz w:val="26"/>
          <w:szCs w:val="26"/>
        </w:rPr>
        <w:t xml:space="preserve">central </w:t>
      </w:r>
      <w:r>
        <w:rPr>
          <w:rFonts w:ascii="Arial" w:hAnsi="Arial" w:cs="Arial"/>
          <w:sz w:val="26"/>
          <w:szCs w:val="26"/>
        </w:rPr>
        <w:t>budgets. It is likely that Derbyshire will be seeking permission to hold the maximum 5% allowed by the regulations</w:t>
      </w:r>
      <w:r w:rsidR="00F25560">
        <w:rPr>
          <w:rFonts w:ascii="Arial" w:hAnsi="Arial" w:cs="Arial"/>
          <w:sz w:val="26"/>
          <w:szCs w:val="26"/>
        </w:rPr>
        <w:t xml:space="preserve"> in 2019-20.</w:t>
      </w:r>
    </w:p>
    <w:p w:rsidR="00FA5A4B" w:rsidP="005F493A" w:rsidRDefault="00FA5A4B">
      <w:pPr>
        <w:ind w:left="284"/>
        <w:rPr>
          <w:rFonts w:ascii="Arial" w:hAnsi="Arial" w:cs="Arial"/>
          <w:sz w:val="26"/>
          <w:szCs w:val="26"/>
        </w:rPr>
      </w:pPr>
    </w:p>
    <w:p w:rsidR="006808B9" w:rsidP="005F493A" w:rsidRDefault="00FA5A4B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F25560">
        <w:rPr>
          <w:rFonts w:ascii="Arial" w:hAnsi="Arial" w:cs="Arial"/>
          <w:sz w:val="26"/>
          <w:szCs w:val="26"/>
        </w:rPr>
        <w:t xml:space="preserve">overall </w:t>
      </w:r>
      <w:r>
        <w:rPr>
          <w:rFonts w:ascii="Arial" w:hAnsi="Arial" w:cs="Arial"/>
          <w:sz w:val="26"/>
          <w:szCs w:val="26"/>
        </w:rPr>
        <w:t>level of central early years spend is a matter for the Schools Forum</w:t>
      </w:r>
      <w:r w:rsidR="006A646F">
        <w:rPr>
          <w:rFonts w:ascii="Arial" w:hAnsi="Arial" w:cs="Arial"/>
          <w:sz w:val="26"/>
          <w:szCs w:val="26"/>
        </w:rPr>
        <w:t xml:space="preserve">.  </w:t>
      </w:r>
      <w:r w:rsidR="006808B9">
        <w:rPr>
          <w:rFonts w:ascii="Arial" w:hAnsi="Arial" w:cs="Arial"/>
          <w:sz w:val="26"/>
          <w:szCs w:val="26"/>
        </w:rPr>
        <w:t xml:space="preserve">If agreement cannot be reached then the matter could be referred to the Secretary of State for a decision. </w:t>
      </w:r>
    </w:p>
    <w:p w:rsidR="006808B9" w:rsidP="005F493A" w:rsidRDefault="006808B9">
      <w:pPr>
        <w:ind w:left="284"/>
        <w:rPr>
          <w:rFonts w:ascii="Arial" w:hAnsi="Arial" w:cs="Arial"/>
          <w:sz w:val="26"/>
          <w:szCs w:val="26"/>
        </w:rPr>
      </w:pPr>
    </w:p>
    <w:p w:rsidR="00FA5A4B" w:rsidP="005F493A" w:rsidRDefault="00FA5A4B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B95792">
        <w:rPr>
          <w:rFonts w:ascii="Arial" w:hAnsi="Arial" w:cs="Arial"/>
          <w:sz w:val="26"/>
          <w:szCs w:val="26"/>
        </w:rPr>
        <w:t xml:space="preserve">n updated </w:t>
      </w:r>
      <w:r>
        <w:rPr>
          <w:rFonts w:ascii="Arial" w:hAnsi="Arial" w:cs="Arial"/>
          <w:sz w:val="26"/>
          <w:szCs w:val="26"/>
        </w:rPr>
        <w:t>report on the Early Years budget will be brought to the January Schools Forum meeting</w:t>
      </w:r>
      <w:r w:rsidR="00B95792">
        <w:rPr>
          <w:rFonts w:ascii="Arial" w:hAnsi="Arial" w:cs="Arial"/>
          <w:sz w:val="26"/>
          <w:szCs w:val="26"/>
        </w:rPr>
        <w:t xml:space="preserve"> which will incorporate </w:t>
      </w:r>
      <w:r w:rsidR="006A646F">
        <w:rPr>
          <w:rFonts w:ascii="Arial" w:hAnsi="Arial" w:cs="Arial"/>
          <w:sz w:val="26"/>
          <w:szCs w:val="26"/>
        </w:rPr>
        <w:t xml:space="preserve">any </w:t>
      </w:r>
      <w:r w:rsidR="00B95792">
        <w:rPr>
          <w:rFonts w:ascii="Arial" w:hAnsi="Arial" w:cs="Arial"/>
          <w:sz w:val="26"/>
          <w:szCs w:val="26"/>
        </w:rPr>
        <w:t xml:space="preserve">implications </w:t>
      </w:r>
      <w:r w:rsidR="006A646F">
        <w:rPr>
          <w:rFonts w:ascii="Arial" w:hAnsi="Arial" w:cs="Arial"/>
          <w:sz w:val="26"/>
          <w:szCs w:val="26"/>
        </w:rPr>
        <w:t xml:space="preserve">from </w:t>
      </w:r>
      <w:r w:rsidR="00B95792">
        <w:rPr>
          <w:rFonts w:ascii="Arial" w:hAnsi="Arial" w:cs="Arial"/>
          <w:sz w:val="26"/>
          <w:szCs w:val="26"/>
        </w:rPr>
        <w:t>the December 2018 settlement.</w:t>
      </w:r>
      <w:r w:rsidR="006808B9">
        <w:rPr>
          <w:rFonts w:ascii="Arial" w:hAnsi="Arial" w:cs="Arial"/>
          <w:sz w:val="26"/>
          <w:szCs w:val="26"/>
        </w:rPr>
        <w:t xml:space="preserve"> However, the initial views of the Forum on the issues raised in this report would be welcomed.</w:t>
      </w:r>
    </w:p>
    <w:p w:rsidR="00E753F0" w:rsidP="00BC3352" w:rsidRDefault="00E753F0">
      <w:pPr>
        <w:ind w:left="284"/>
        <w:rPr>
          <w:rFonts w:ascii="Arial" w:hAnsi="Arial" w:cs="Arial"/>
          <w:sz w:val="26"/>
          <w:szCs w:val="26"/>
        </w:rPr>
      </w:pPr>
    </w:p>
    <w:p w:rsidRPr="006D2EE8" w:rsidR="00F101F1" w:rsidP="00896D06" w:rsidRDefault="00433514">
      <w:pPr>
        <w:ind w:left="1134" w:hanging="850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</w:rPr>
        <w:t>3</w:t>
      </w:r>
      <w:r w:rsidRPr="006D2EE8" w:rsidR="00B73C3D">
        <w:rPr>
          <w:rFonts w:ascii="Arial" w:hAnsi="Arial" w:cs="Arial"/>
          <w:b/>
          <w:sz w:val="26"/>
          <w:szCs w:val="26"/>
        </w:rPr>
        <w:t>.</w:t>
      </w:r>
      <w:r w:rsidRPr="006D2EE8" w:rsidR="00B73C3D">
        <w:rPr>
          <w:rFonts w:ascii="Arial" w:hAnsi="Arial" w:cs="Arial"/>
          <w:b/>
          <w:sz w:val="26"/>
          <w:szCs w:val="26"/>
        </w:rPr>
        <w:tab/>
      </w:r>
      <w:r w:rsidRPr="006D2EE8" w:rsidR="00B73C3D">
        <w:rPr>
          <w:rFonts w:ascii="Arial" w:hAnsi="Arial" w:cs="Arial"/>
          <w:b/>
          <w:sz w:val="26"/>
          <w:szCs w:val="26"/>
          <w:u w:val="single"/>
        </w:rPr>
        <w:t>Other Considerations</w:t>
      </w:r>
    </w:p>
    <w:p w:rsidRPr="00D333BE" w:rsidR="00F101F1" w:rsidP="00F101F1" w:rsidRDefault="00F101F1">
      <w:pPr>
        <w:ind w:left="284"/>
        <w:jc w:val="both"/>
        <w:rPr>
          <w:rFonts w:ascii="Arial" w:hAnsi="Arial" w:cs="Arial"/>
          <w:szCs w:val="26"/>
        </w:rPr>
      </w:pPr>
    </w:p>
    <w:p w:rsidRPr="006D2EE8" w:rsidR="00B73C3D" w:rsidP="004B76A4" w:rsidRDefault="00B73C3D">
      <w:pPr>
        <w:tabs>
          <w:tab w:val="left" w:pos="851"/>
        </w:tabs>
        <w:ind w:left="284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 xml:space="preserve">In preparing this report the relevance of the following factors has been considered: prevention of crime &amp; disorder, equality of opportunity, </w:t>
      </w:r>
      <w:r w:rsidR="00066926">
        <w:rPr>
          <w:rFonts w:ascii="Arial" w:hAnsi="Arial" w:cs="Arial"/>
          <w:sz w:val="26"/>
          <w:szCs w:val="26"/>
        </w:rPr>
        <w:t xml:space="preserve">social value, </w:t>
      </w:r>
      <w:r w:rsidRPr="006D2EE8">
        <w:rPr>
          <w:rFonts w:ascii="Arial" w:hAnsi="Arial" w:cs="Arial"/>
          <w:sz w:val="26"/>
          <w:szCs w:val="26"/>
        </w:rPr>
        <w:t>human resources, legal &amp; human rights, environmental, financial, health, property and transport considerations.</w:t>
      </w:r>
    </w:p>
    <w:p w:rsidRPr="00D333BE" w:rsidR="00425BFB" w:rsidP="00F101F1" w:rsidRDefault="00425BFB">
      <w:pPr>
        <w:ind w:left="284"/>
        <w:rPr>
          <w:rFonts w:ascii="Arial" w:hAnsi="Arial" w:cs="Arial"/>
          <w:b/>
          <w:szCs w:val="26"/>
        </w:rPr>
      </w:pPr>
    </w:p>
    <w:p w:rsidRPr="006D2EE8" w:rsidR="00F101F1" w:rsidP="00896D06" w:rsidRDefault="00433514">
      <w:pPr>
        <w:ind w:left="1134" w:hanging="850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</w:rPr>
        <w:t>4</w:t>
      </w:r>
      <w:r w:rsidRPr="006D2EE8" w:rsidR="00B73C3D">
        <w:rPr>
          <w:rFonts w:ascii="Arial" w:hAnsi="Arial" w:cs="Arial"/>
          <w:b/>
          <w:sz w:val="26"/>
          <w:szCs w:val="26"/>
        </w:rPr>
        <w:t>.</w:t>
      </w:r>
      <w:r w:rsidRPr="006D2EE8" w:rsidR="00B73C3D">
        <w:rPr>
          <w:rFonts w:ascii="Arial" w:hAnsi="Arial" w:cs="Arial"/>
          <w:b/>
          <w:sz w:val="26"/>
          <w:szCs w:val="26"/>
        </w:rPr>
        <w:tab/>
      </w:r>
      <w:r w:rsidRPr="00896D06" w:rsidR="00B73C3D">
        <w:rPr>
          <w:rFonts w:ascii="Arial" w:hAnsi="Arial" w:cs="Arial"/>
          <w:b/>
          <w:sz w:val="26"/>
          <w:szCs w:val="26"/>
          <w:u w:val="single"/>
        </w:rPr>
        <w:t>Background Papers</w:t>
      </w:r>
    </w:p>
    <w:p w:rsidRPr="00D333BE" w:rsidR="00F101F1" w:rsidP="00F101F1" w:rsidRDefault="00F101F1">
      <w:pPr>
        <w:ind w:left="284"/>
        <w:rPr>
          <w:rFonts w:ascii="Arial" w:hAnsi="Arial" w:cs="Arial"/>
          <w:b/>
          <w:szCs w:val="26"/>
        </w:rPr>
      </w:pPr>
    </w:p>
    <w:p w:rsidRPr="006D2EE8" w:rsidR="00B73C3D" w:rsidP="00F101F1" w:rsidRDefault="00F101F1">
      <w:pPr>
        <w:ind w:left="284"/>
        <w:rPr>
          <w:rFonts w:ascii="Arial" w:hAnsi="Arial" w:cs="Arial"/>
          <w:b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>Papers held in C</w:t>
      </w:r>
      <w:r w:rsidRPr="006D2EE8" w:rsidR="001F5A2F">
        <w:rPr>
          <w:rFonts w:ascii="Arial" w:hAnsi="Arial" w:cs="Arial"/>
          <w:sz w:val="26"/>
          <w:szCs w:val="26"/>
        </w:rPr>
        <w:t xml:space="preserve">hildren’s Services </w:t>
      </w:r>
      <w:r w:rsidRPr="006D2EE8">
        <w:rPr>
          <w:rFonts w:ascii="Arial" w:hAnsi="Arial" w:cs="Arial"/>
          <w:sz w:val="26"/>
          <w:szCs w:val="26"/>
        </w:rPr>
        <w:t>Finance</w:t>
      </w:r>
      <w:r w:rsidRPr="006D2EE8" w:rsidR="00A042FC">
        <w:rPr>
          <w:rFonts w:ascii="Arial" w:hAnsi="Arial" w:cs="Arial"/>
          <w:sz w:val="26"/>
          <w:szCs w:val="26"/>
        </w:rPr>
        <w:t>.</w:t>
      </w:r>
    </w:p>
    <w:p w:rsidRPr="00D333BE" w:rsidR="00B73C3D" w:rsidP="00F101F1" w:rsidRDefault="00B73C3D">
      <w:pPr>
        <w:ind w:left="284"/>
        <w:rPr>
          <w:rFonts w:ascii="Arial" w:hAnsi="Arial" w:cs="Arial"/>
          <w:szCs w:val="26"/>
        </w:rPr>
      </w:pPr>
    </w:p>
    <w:p w:rsidRPr="006D2EE8" w:rsidR="00B73C3D" w:rsidP="00896D06" w:rsidRDefault="00433514">
      <w:pPr>
        <w:ind w:left="1134" w:hanging="85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Pr="006D2EE8" w:rsidR="00B73C3D">
        <w:rPr>
          <w:rFonts w:ascii="Arial" w:hAnsi="Arial" w:cs="Arial"/>
          <w:b/>
          <w:sz w:val="26"/>
          <w:szCs w:val="26"/>
        </w:rPr>
        <w:t>.</w:t>
      </w:r>
      <w:r w:rsidRPr="006D2EE8" w:rsidR="00B73C3D">
        <w:rPr>
          <w:rFonts w:ascii="Arial" w:hAnsi="Arial" w:cs="Arial"/>
          <w:b/>
          <w:sz w:val="26"/>
          <w:szCs w:val="26"/>
        </w:rPr>
        <w:tab/>
      </w:r>
      <w:r w:rsidRPr="00896D06" w:rsidR="00B73C3D">
        <w:rPr>
          <w:rFonts w:ascii="Arial" w:hAnsi="Arial" w:cs="Arial"/>
          <w:b/>
          <w:sz w:val="26"/>
          <w:szCs w:val="26"/>
          <w:u w:val="single"/>
        </w:rPr>
        <w:t>Officer’s Recommendations</w:t>
      </w:r>
      <w:r w:rsidRPr="006D2EE8" w:rsidR="00B73C3D">
        <w:rPr>
          <w:rFonts w:ascii="Arial" w:hAnsi="Arial" w:cs="Arial"/>
          <w:b/>
          <w:sz w:val="26"/>
          <w:szCs w:val="26"/>
        </w:rPr>
        <w:t xml:space="preserve"> </w:t>
      </w:r>
    </w:p>
    <w:p w:rsidRPr="00D333BE" w:rsidR="00B73C3D" w:rsidP="00F101F1" w:rsidRDefault="00B73C3D">
      <w:pPr>
        <w:pStyle w:val="ListParagraph"/>
        <w:ind w:left="284"/>
        <w:rPr>
          <w:rFonts w:ascii="Arial" w:hAnsi="Arial" w:cs="Arial"/>
          <w:szCs w:val="26"/>
        </w:rPr>
      </w:pPr>
    </w:p>
    <w:p w:rsidR="00F25560" w:rsidP="00F101F1" w:rsidRDefault="00B840DB">
      <w:pPr>
        <w:pStyle w:val="ListParagraph"/>
        <w:ind w:left="284"/>
        <w:rPr>
          <w:rFonts w:ascii="Arial" w:hAnsi="Arial" w:cs="Arial"/>
          <w:sz w:val="26"/>
          <w:szCs w:val="26"/>
        </w:rPr>
      </w:pPr>
      <w:r w:rsidRPr="006D2EE8">
        <w:rPr>
          <w:rFonts w:ascii="Arial" w:hAnsi="Arial" w:cs="Arial"/>
          <w:sz w:val="26"/>
          <w:szCs w:val="26"/>
        </w:rPr>
        <w:t xml:space="preserve">Schools Forum </w:t>
      </w:r>
      <w:r w:rsidRPr="006D2EE8" w:rsidR="000122A0">
        <w:rPr>
          <w:rFonts w:ascii="Arial" w:hAnsi="Arial" w:cs="Arial"/>
          <w:sz w:val="26"/>
          <w:szCs w:val="26"/>
        </w:rPr>
        <w:t>is asked to</w:t>
      </w:r>
      <w:r w:rsidR="006A646F">
        <w:rPr>
          <w:rFonts w:ascii="Arial" w:hAnsi="Arial" w:cs="Arial"/>
          <w:sz w:val="26"/>
          <w:szCs w:val="26"/>
        </w:rPr>
        <w:t xml:space="preserve"> note:</w:t>
      </w:r>
    </w:p>
    <w:p w:rsidR="00F25560" w:rsidP="00F101F1" w:rsidRDefault="00F25560">
      <w:pPr>
        <w:pStyle w:val="ListParagraph"/>
        <w:ind w:left="284"/>
        <w:rPr>
          <w:rFonts w:ascii="Arial" w:hAnsi="Arial" w:cs="Arial"/>
          <w:sz w:val="26"/>
          <w:szCs w:val="26"/>
        </w:rPr>
      </w:pPr>
    </w:p>
    <w:p w:rsidR="000122A0" w:rsidP="00F25560" w:rsidRDefault="00C84CF7">
      <w:pPr>
        <w:pStyle w:val="ListParagraph"/>
        <w:numPr>
          <w:ilvl w:val="0"/>
          <w:numId w:val="49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report and</w:t>
      </w:r>
      <w:r w:rsidR="00F25560">
        <w:rPr>
          <w:rFonts w:ascii="Arial" w:hAnsi="Arial" w:cs="Arial"/>
          <w:sz w:val="26"/>
          <w:szCs w:val="26"/>
        </w:rPr>
        <w:t xml:space="preserve"> give its views; and</w:t>
      </w:r>
    </w:p>
    <w:p w:rsidRPr="006D2EE8" w:rsidR="00F25560" w:rsidP="00F25560" w:rsidRDefault="00F25560">
      <w:pPr>
        <w:pStyle w:val="ListParagraph"/>
        <w:numPr>
          <w:ilvl w:val="0"/>
          <w:numId w:val="49"/>
        </w:numPr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that</w:t>
      </w:r>
      <w:proofErr w:type="gramEnd"/>
      <w:r>
        <w:rPr>
          <w:rFonts w:ascii="Arial" w:hAnsi="Arial" w:cs="Arial"/>
          <w:sz w:val="26"/>
          <w:szCs w:val="26"/>
        </w:rPr>
        <w:t xml:space="preserve"> an updated report will be provided to the January 2019 meeting.</w:t>
      </w:r>
    </w:p>
    <w:p w:rsidRPr="00D333BE" w:rsidR="00885834" w:rsidP="00F101F1" w:rsidRDefault="00885834">
      <w:pPr>
        <w:pStyle w:val="ListParagraph"/>
        <w:ind w:left="284"/>
        <w:rPr>
          <w:rFonts w:ascii="Arial" w:hAnsi="Arial" w:cs="Arial"/>
          <w:szCs w:val="26"/>
        </w:rPr>
      </w:pPr>
    </w:p>
    <w:p w:rsidRPr="006D2EE8" w:rsidR="00885834" w:rsidP="00885834" w:rsidRDefault="00E024A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JANE PARFREMENT</w:t>
      </w:r>
    </w:p>
    <w:p w:rsidR="00B077B1" w:rsidP="008E3161" w:rsidRDefault="00B73C3D">
      <w:pPr>
        <w:ind w:left="709"/>
        <w:jc w:val="center"/>
        <w:rPr>
          <w:rFonts w:ascii="Arial" w:hAnsi="Arial" w:cs="Arial"/>
          <w:b/>
          <w:sz w:val="26"/>
          <w:szCs w:val="26"/>
        </w:rPr>
      </w:pPr>
      <w:r w:rsidRPr="006D2EE8">
        <w:rPr>
          <w:rFonts w:ascii="Arial" w:hAnsi="Arial" w:cs="Arial"/>
          <w:b/>
          <w:sz w:val="26"/>
          <w:szCs w:val="26"/>
        </w:rPr>
        <w:t>Strategic Director for Children</w:t>
      </w:r>
      <w:r w:rsidRPr="006D2EE8" w:rsidR="00E352A1">
        <w:rPr>
          <w:rFonts w:ascii="Arial" w:hAnsi="Arial" w:cs="Arial"/>
          <w:b/>
          <w:sz w:val="26"/>
          <w:szCs w:val="26"/>
        </w:rPr>
        <w:t>’s Services</w:t>
      </w:r>
      <w:r w:rsidR="008E3161">
        <w:rPr>
          <w:rFonts w:ascii="Arial" w:hAnsi="Arial" w:cs="Arial"/>
          <w:b/>
          <w:sz w:val="26"/>
          <w:szCs w:val="26"/>
        </w:rPr>
        <w:t xml:space="preserve"> </w:t>
      </w:r>
    </w:p>
    <w:p w:rsidR="009C390F" w:rsidP="008E3161" w:rsidRDefault="009C390F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br w:type="page"/>
      </w:r>
    </w:p>
    <w:p w:rsidR="008E3161" w:rsidP="008E3161" w:rsidRDefault="008E3161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  <w:sectPr w:rsidR="008E3161" w:rsidSect="0002634B">
          <w:footerReference w:type="default" r:id="rId9"/>
          <w:pgSz w:w="11906" w:h="16838"/>
          <w:pgMar w:top="426" w:right="1133" w:bottom="1135" w:left="851" w:header="708" w:footer="268" w:gutter="0"/>
          <w:cols w:space="708"/>
          <w:docGrid w:linePitch="360"/>
        </w:sectPr>
      </w:pPr>
    </w:p>
    <w:p w:rsidRPr="00F0603B" w:rsidR="009744DF" w:rsidP="00F25560" w:rsidRDefault="009744DF">
      <w:pPr>
        <w:tabs>
          <w:tab w:val="left" w:pos="8505"/>
        </w:tabs>
        <w:rPr>
          <w:rFonts w:ascii="Arial" w:hAnsi="Arial" w:cs="Arial"/>
          <w:sz w:val="20"/>
          <w:szCs w:val="20"/>
        </w:rPr>
      </w:pPr>
    </w:p>
    <w:sectPr w:rsidRPr="00F0603B" w:rsidR="009744DF" w:rsidSect="00F25560">
      <w:pgSz w:w="11906" w:h="16838"/>
      <w:pgMar w:top="426" w:right="1133" w:bottom="1135" w:left="851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AEF" w:rsidRDefault="00D50AEF" w:rsidP="00085F2B">
      <w:r>
        <w:separator/>
      </w:r>
    </w:p>
  </w:endnote>
  <w:endnote w:type="continuationSeparator" w:id="0">
    <w:p w:rsidR="00D50AEF" w:rsidRDefault="00D50AEF" w:rsidP="0008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eria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74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AEF" w:rsidRDefault="00D50A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A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50AEF" w:rsidRDefault="00D50A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AEF" w:rsidRDefault="00D50AEF" w:rsidP="00085F2B">
      <w:r>
        <w:separator/>
      </w:r>
    </w:p>
  </w:footnote>
  <w:footnote w:type="continuationSeparator" w:id="0">
    <w:p w:rsidR="00D50AEF" w:rsidRDefault="00D50AEF" w:rsidP="0008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2B22"/>
    <w:multiLevelType w:val="hybridMultilevel"/>
    <w:tmpl w:val="E9309EF6"/>
    <w:lvl w:ilvl="0" w:tplc="D4F413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63D"/>
    <w:multiLevelType w:val="hybridMultilevel"/>
    <w:tmpl w:val="ADE24B7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E71CDB"/>
    <w:multiLevelType w:val="hybridMultilevel"/>
    <w:tmpl w:val="30128DD2"/>
    <w:lvl w:ilvl="0" w:tplc="E9C6FD04">
      <w:start w:val="5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62A264F"/>
    <w:multiLevelType w:val="hybridMultilevel"/>
    <w:tmpl w:val="E35CFC2C"/>
    <w:lvl w:ilvl="0" w:tplc="001200BE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6A36FB"/>
    <w:multiLevelType w:val="hybridMultilevel"/>
    <w:tmpl w:val="7254942C"/>
    <w:lvl w:ilvl="0" w:tplc="770697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B1624F"/>
    <w:multiLevelType w:val="hybridMultilevel"/>
    <w:tmpl w:val="0CEE40DC"/>
    <w:lvl w:ilvl="0" w:tplc="2A927F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A50A4B"/>
    <w:multiLevelType w:val="hybridMultilevel"/>
    <w:tmpl w:val="5AAE4330"/>
    <w:lvl w:ilvl="0" w:tplc="BD9226DE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1C41CE"/>
    <w:multiLevelType w:val="hybridMultilevel"/>
    <w:tmpl w:val="7BCA7CE4"/>
    <w:lvl w:ilvl="0" w:tplc="1280FD92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176ECA"/>
    <w:multiLevelType w:val="hybridMultilevel"/>
    <w:tmpl w:val="3FA87574"/>
    <w:lvl w:ilvl="0" w:tplc="EC504D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01424"/>
    <w:multiLevelType w:val="hybridMultilevel"/>
    <w:tmpl w:val="6A42C2BC"/>
    <w:lvl w:ilvl="0" w:tplc="E9D2CC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2364925"/>
    <w:multiLevelType w:val="multilevel"/>
    <w:tmpl w:val="9C20FF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5BD3412"/>
    <w:multiLevelType w:val="hybridMultilevel"/>
    <w:tmpl w:val="81B8D2EC"/>
    <w:lvl w:ilvl="0" w:tplc="76ECB51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0C26B6"/>
    <w:multiLevelType w:val="hybridMultilevel"/>
    <w:tmpl w:val="BEF8E6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B27030"/>
    <w:multiLevelType w:val="hybridMultilevel"/>
    <w:tmpl w:val="8256A4C0"/>
    <w:lvl w:ilvl="0" w:tplc="0809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4" w15:restartNumberingAfterBreak="0">
    <w:nsid w:val="1C047428"/>
    <w:multiLevelType w:val="hybridMultilevel"/>
    <w:tmpl w:val="7224351C"/>
    <w:lvl w:ilvl="0" w:tplc="9014BED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E15304F"/>
    <w:multiLevelType w:val="hybridMultilevel"/>
    <w:tmpl w:val="E452A1BC"/>
    <w:lvl w:ilvl="0" w:tplc="74E01D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23E5D"/>
    <w:multiLevelType w:val="hybridMultilevel"/>
    <w:tmpl w:val="072EA83C"/>
    <w:lvl w:ilvl="0" w:tplc="608A0E76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13A533B"/>
    <w:multiLevelType w:val="hybridMultilevel"/>
    <w:tmpl w:val="9050DA6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81FD0"/>
    <w:multiLevelType w:val="hybridMultilevel"/>
    <w:tmpl w:val="D46E07B4"/>
    <w:lvl w:ilvl="0" w:tplc="57EC4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8A61938"/>
    <w:multiLevelType w:val="hybridMultilevel"/>
    <w:tmpl w:val="A086D632"/>
    <w:lvl w:ilvl="0" w:tplc="0082D9BC">
      <w:start w:val="2015"/>
      <w:numFmt w:val="bullet"/>
      <w:lvlText w:val="*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06043D"/>
    <w:multiLevelType w:val="hybridMultilevel"/>
    <w:tmpl w:val="C1F447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D77D9"/>
    <w:multiLevelType w:val="hybridMultilevel"/>
    <w:tmpl w:val="42C60610"/>
    <w:lvl w:ilvl="0" w:tplc="2768411C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CBA0FAB"/>
    <w:multiLevelType w:val="hybridMultilevel"/>
    <w:tmpl w:val="D3A04A8C"/>
    <w:lvl w:ilvl="0" w:tplc="91EA4D7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E5B221C"/>
    <w:multiLevelType w:val="hybridMultilevel"/>
    <w:tmpl w:val="705881CE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EA3670C"/>
    <w:multiLevelType w:val="hybridMultilevel"/>
    <w:tmpl w:val="18E6815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06D0616"/>
    <w:multiLevelType w:val="multilevel"/>
    <w:tmpl w:val="54EE7E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6" w15:restartNumberingAfterBreak="0">
    <w:nsid w:val="32BE5151"/>
    <w:multiLevelType w:val="hybridMultilevel"/>
    <w:tmpl w:val="4C140048"/>
    <w:lvl w:ilvl="0" w:tplc="3B7691A8">
      <w:start w:val="1"/>
      <w:numFmt w:val="decimal"/>
      <w:lvlText w:val="%1."/>
      <w:lvlJc w:val="left"/>
      <w:pPr>
        <w:ind w:left="2767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3487" w:hanging="360"/>
      </w:pPr>
    </w:lvl>
    <w:lvl w:ilvl="2" w:tplc="0809001B" w:tentative="1">
      <w:start w:val="1"/>
      <w:numFmt w:val="lowerRoman"/>
      <w:lvlText w:val="%3."/>
      <w:lvlJc w:val="right"/>
      <w:pPr>
        <w:ind w:left="4207" w:hanging="180"/>
      </w:pPr>
    </w:lvl>
    <w:lvl w:ilvl="3" w:tplc="0809000F" w:tentative="1">
      <w:start w:val="1"/>
      <w:numFmt w:val="decimal"/>
      <w:lvlText w:val="%4."/>
      <w:lvlJc w:val="left"/>
      <w:pPr>
        <w:ind w:left="4927" w:hanging="360"/>
      </w:pPr>
    </w:lvl>
    <w:lvl w:ilvl="4" w:tplc="08090019" w:tentative="1">
      <w:start w:val="1"/>
      <w:numFmt w:val="lowerLetter"/>
      <w:lvlText w:val="%5."/>
      <w:lvlJc w:val="left"/>
      <w:pPr>
        <w:ind w:left="5647" w:hanging="360"/>
      </w:pPr>
    </w:lvl>
    <w:lvl w:ilvl="5" w:tplc="0809001B" w:tentative="1">
      <w:start w:val="1"/>
      <w:numFmt w:val="lowerRoman"/>
      <w:lvlText w:val="%6."/>
      <w:lvlJc w:val="right"/>
      <w:pPr>
        <w:ind w:left="6367" w:hanging="180"/>
      </w:pPr>
    </w:lvl>
    <w:lvl w:ilvl="6" w:tplc="0809000F" w:tentative="1">
      <w:start w:val="1"/>
      <w:numFmt w:val="decimal"/>
      <w:lvlText w:val="%7."/>
      <w:lvlJc w:val="left"/>
      <w:pPr>
        <w:ind w:left="7087" w:hanging="360"/>
      </w:pPr>
    </w:lvl>
    <w:lvl w:ilvl="7" w:tplc="08090019" w:tentative="1">
      <w:start w:val="1"/>
      <w:numFmt w:val="lowerLetter"/>
      <w:lvlText w:val="%8."/>
      <w:lvlJc w:val="left"/>
      <w:pPr>
        <w:ind w:left="7807" w:hanging="360"/>
      </w:pPr>
    </w:lvl>
    <w:lvl w:ilvl="8" w:tplc="0809001B" w:tentative="1">
      <w:start w:val="1"/>
      <w:numFmt w:val="lowerRoman"/>
      <w:lvlText w:val="%9."/>
      <w:lvlJc w:val="right"/>
      <w:pPr>
        <w:ind w:left="8527" w:hanging="180"/>
      </w:pPr>
    </w:lvl>
  </w:abstractNum>
  <w:abstractNum w:abstractNumId="27" w15:restartNumberingAfterBreak="0">
    <w:nsid w:val="33CA10FF"/>
    <w:multiLevelType w:val="hybridMultilevel"/>
    <w:tmpl w:val="51405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7F37B1"/>
    <w:multiLevelType w:val="hybridMultilevel"/>
    <w:tmpl w:val="4392B98A"/>
    <w:lvl w:ilvl="0" w:tplc="972E4D2E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A2153DB"/>
    <w:multiLevelType w:val="hybridMultilevel"/>
    <w:tmpl w:val="826E1510"/>
    <w:lvl w:ilvl="0" w:tplc="BD5C1226">
      <w:start w:val="22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AF802E1"/>
    <w:multiLevelType w:val="hybridMultilevel"/>
    <w:tmpl w:val="BA1C72BE"/>
    <w:lvl w:ilvl="0" w:tplc="7EF4BF4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FEC0362"/>
    <w:multiLevelType w:val="hybridMultilevel"/>
    <w:tmpl w:val="FAAC2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95144"/>
    <w:multiLevelType w:val="hybridMultilevel"/>
    <w:tmpl w:val="AB4E496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61E2D4F"/>
    <w:multiLevelType w:val="hybridMultilevel"/>
    <w:tmpl w:val="A060F6EA"/>
    <w:lvl w:ilvl="0" w:tplc="3A2281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8B624C"/>
    <w:multiLevelType w:val="hybridMultilevel"/>
    <w:tmpl w:val="F49CD0BA"/>
    <w:lvl w:ilvl="0" w:tplc="EE1E762C">
      <w:start w:val="1"/>
      <w:numFmt w:val="lowerRoman"/>
      <w:lvlText w:val="(%1)"/>
      <w:lvlJc w:val="left"/>
      <w:pPr>
        <w:ind w:left="128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B70CA8"/>
    <w:multiLevelType w:val="hybridMultilevel"/>
    <w:tmpl w:val="A060F6EA"/>
    <w:lvl w:ilvl="0" w:tplc="3A2281C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0383659"/>
    <w:multiLevelType w:val="hybridMultilevel"/>
    <w:tmpl w:val="4E244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9591F"/>
    <w:multiLevelType w:val="hybridMultilevel"/>
    <w:tmpl w:val="1BF60118"/>
    <w:lvl w:ilvl="0" w:tplc="DAA0AC0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53CB6B3B"/>
    <w:multiLevelType w:val="hybridMultilevel"/>
    <w:tmpl w:val="16E475AA"/>
    <w:lvl w:ilvl="0" w:tplc="3FC857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6D320A"/>
    <w:multiLevelType w:val="hybridMultilevel"/>
    <w:tmpl w:val="EAB26F4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6AC55BA"/>
    <w:multiLevelType w:val="hybridMultilevel"/>
    <w:tmpl w:val="D376CD42"/>
    <w:lvl w:ilvl="0" w:tplc="A05A4CC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D4E55C0"/>
    <w:multiLevelType w:val="hybridMultilevel"/>
    <w:tmpl w:val="B89CDE92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0607E6E"/>
    <w:multiLevelType w:val="multilevel"/>
    <w:tmpl w:val="0BA876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43" w15:restartNumberingAfterBreak="0">
    <w:nsid w:val="68B95841"/>
    <w:multiLevelType w:val="hybridMultilevel"/>
    <w:tmpl w:val="63205EC2"/>
    <w:lvl w:ilvl="0" w:tplc="2C8C45C8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8E322BC"/>
    <w:multiLevelType w:val="hybridMultilevel"/>
    <w:tmpl w:val="84DA418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91E00CA"/>
    <w:multiLevelType w:val="hybridMultilevel"/>
    <w:tmpl w:val="82242504"/>
    <w:lvl w:ilvl="0" w:tplc="7F068512">
      <w:start w:val="1"/>
      <w:numFmt w:val="lowerLetter"/>
      <w:lvlText w:val="(%1)"/>
      <w:lvlJc w:val="left"/>
      <w:pPr>
        <w:ind w:left="1084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5EC240E"/>
    <w:multiLevelType w:val="hybridMultilevel"/>
    <w:tmpl w:val="2410C50C"/>
    <w:lvl w:ilvl="0" w:tplc="5BF8C15A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789206B"/>
    <w:multiLevelType w:val="hybridMultilevel"/>
    <w:tmpl w:val="D7124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570693"/>
    <w:multiLevelType w:val="hybridMultilevel"/>
    <w:tmpl w:val="BD2CE0D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34"/>
  </w:num>
  <w:num w:numId="4">
    <w:abstractNumId w:val="38"/>
  </w:num>
  <w:num w:numId="5">
    <w:abstractNumId w:val="15"/>
  </w:num>
  <w:num w:numId="6">
    <w:abstractNumId w:val="11"/>
  </w:num>
  <w:num w:numId="7">
    <w:abstractNumId w:val="31"/>
  </w:num>
  <w:num w:numId="8">
    <w:abstractNumId w:val="0"/>
  </w:num>
  <w:num w:numId="9">
    <w:abstractNumId w:val="37"/>
  </w:num>
  <w:num w:numId="10">
    <w:abstractNumId w:val="5"/>
  </w:num>
  <w:num w:numId="11">
    <w:abstractNumId w:val="44"/>
  </w:num>
  <w:num w:numId="12">
    <w:abstractNumId w:val="24"/>
  </w:num>
  <w:num w:numId="13">
    <w:abstractNumId w:val="48"/>
  </w:num>
  <w:num w:numId="14">
    <w:abstractNumId w:val="21"/>
  </w:num>
  <w:num w:numId="15">
    <w:abstractNumId w:val="8"/>
  </w:num>
  <w:num w:numId="16">
    <w:abstractNumId w:val="32"/>
  </w:num>
  <w:num w:numId="17">
    <w:abstractNumId w:val="9"/>
  </w:num>
  <w:num w:numId="18">
    <w:abstractNumId w:val="41"/>
  </w:num>
  <w:num w:numId="19">
    <w:abstractNumId w:val="1"/>
  </w:num>
  <w:num w:numId="20">
    <w:abstractNumId w:val="33"/>
  </w:num>
  <w:num w:numId="21">
    <w:abstractNumId w:val="12"/>
  </w:num>
  <w:num w:numId="22">
    <w:abstractNumId w:val="43"/>
  </w:num>
  <w:num w:numId="23">
    <w:abstractNumId w:val="19"/>
  </w:num>
  <w:num w:numId="24">
    <w:abstractNumId w:val="27"/>
  </w:num>
  <w:num w:numId="25">
    <w:abstractNumId w:val="39"/>
  </w:num>
  <w:num w:numId="26">
    <w:abstractNumId w:val="30"/>
  </w:num>
  <w:num w:numId="27">
    <w:abstractNumId w:val="18"/>
  </w:num>
  <w:num w:numId="28">
    <w:abstractNumId w:val="45"/>
  </w:num>
  <w:num w:numId="29">
    <w:abstractNumId w:val="35"/>
  </w:num>
  <w:num w:numId="30">
    <w:abstractNumId w:val="4"/>
  </w:num>
  <w:num w:numId="31">
    <w:abstractNumId w:val="13"/>
  </w:num>
  <w:num w:numId="32">
    <w:abstractNumId w:val="26"/>
  </w:num>
  <w:num w:numId="33">
    <w:abstractNumId w:val="16"/>
  </w:num>
  <w:num w:numId="34">
    <w:abstractNumId w:val="6"/>
  </w:num>
  <w:num w:numId="35">
    <w:abstractNumId w:val="28"/>
  </w:num>
  <w:num w:numId="36">
    <w:abstractNumId w:val="10"/>
  </w:num>
  <w:num w:numId="37">
    <w:abstractNumId w:val="14"/>
  </w:num>
  <w:num w:numId="38">
    <w:abstractNumId w:val="47"/>
  </w:num>
  <w:num w:numId="39">
    <w:abstractNumId w:val="22"/>
  </w:num>
  <w:num w:numId="40">
    <w:abstractNumId w:val="23"/>
  </w:num>
  <w:num w:numId="41">
    <w:abstractNumId w:val="40"/>
  </w:num>
  <w:num w:numId="42">
    <w:abstractNumId w:val="3"/>
  </w:num>
  <w:num w:numId="43">
    <w:abstractNumId w:val="36"/>
  </w:num>
  <w:num w:numId="44">
    <w:abstractNumId w:val="42"/>
  </w:num>
  <w:num w:numId="45">
    <w:abstractNumId w:val="2"/>
  </w:num>
  <w:num w:numId="46">
    <w:abstractNumId w:val="25"/>
  </w:num>
  <w:num w:numId="47">
    <w:abstractNumId w:val="29"/>
  </w:num>
  <w:num w:numId="48">
    <w:abstractNumId w:val="46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02"/>
    <w:rsid w:val="000027BC"/>
    <w:rsid w:val="000028E2"/>
    <w:rsid w:val="00003225"/>
    <w:rsid w:val="0000398B"/>
    <w:rsid w:val="00004667"/>
    <w:rsid w:val="00006782"/>
    <w:rsid w:val="0000788A"/>
    <w:rsid w:val="000100AA"/>
    <w:rsid w:val="000122A0"/>
    <w:rsid w:val="0001262B"/>
    <w:rsid w:val="00014742"/>
    <w:rsid w:val="000164FF"/>
    <w:rsid w:val="00022928"/>
    <w:rsid w:val="0002634B"/>
    <w:rsid w:val="00027473"/>
    <w:rsid w:val="0004049A"/>
    <w:rsid w:val="00041886"/>
    <w:rsid w:val="000432F4"/>
    <w:rsid w:val="000439FA"/>
    <w:rsid w:val="00043F4E"/>
    <w:rsid w:val="00044F6F"/>
    <w:rsid w:val="00047C02"/>
    <w:rsid w:val="00053B19"/>
    <w:rsid w:val="00054B8A"/>
    <w:rsid w:val="00060A66"/>
    <w:rsid w:val="00062C6A"/>
    <w:rsid w:val="000635E0"/>
    <w:rsid w:val="00066926"/>
    <w:rsid w:val="00066E6E"/>
    <w:rsid w:val="000737F8"/>
    <w:rsid w:val="000758E0"/>
    <w:rsid w:val="00075C05"/>
    <w:rsid w:val="000769E4"/>
    <w:rsid w:val="00077C3D"/>
    <w:rsid w:val="00082C6D"/>
    <w:rsid w:val="000851FA"/>
    <w:rsid w:val="00085CD8"/>
    <w:rsid w:val="00085F2B"/>
    <w:rsid w:val="00087BF7"/>
    <w:rsid w:val="00091F5E"/>
    <w:rsid w:val="00094C52"/>
    <w:rsid w:val="000B1897"/>
    <w:rsid w:val="000B25BD"/>
    <w:rsid w:val="000B3F61"/>
    <w:rsid w:val="000B64CA"/>
    <w:rsid w:val="000B7054"/>
    <w:rsid w:val="000C3AD4"/>
    <w:rsid w:val="000D013F"/>
    <w:rsid w:val="000D2210"/>
    <w:rsid w:val="000D77D0"/>
    <w:rsid w:val="000E4682"/>
    <w:rsid w:val="000E490A"/>
    <w:rsid w:val="000E6D48"/>
    <w:rsid w:val="000E7029"/>
    <w:rsid w:val="000E7CF1"/>
    <w:rsid w:val="00113647"/>
    <w:rsid w:val="00116A97"/>
    <w:rsid w:val="00116D66"/>
    <w:rsid w:val="00117C56"/>
    <w:rsid w:val="001201F6"/>
    <w:rsid w:val="00122D4E"/>
    <w:rsid w:val="00123605"/>
    <w:rsid w:val="001250EB"/>
    <w:rsid w:val="00127AD2"/>
    <w:rsid w:val="001332AE"/>
    <w:rsid w:val="00142E95"/>
    <w:rsid w:val="0015308F"/>
    <w:rsid w:val="001566C3"/>
    <w:rsid w:val="00156CB8"/>
    <w:rsid w:val="00160312"/>
    <w:rsid w:val="00161201"/>
    <w:rsid w:val="001619DF"/>
    <w:rsid w:val="0016360F"/>
    <w:rsid w:val="001645FB"/>
    <w:rsid w:val="001649BE"/>
    <w:rsid w:val="001655AA"/>
    <w:rsid w:val="00167A80"/>
    <w:rsid w:val="00170363"/>
    <w:rsid w:val="00174A1D"/>
    <w:rsid w:val="00174DB2"/>
    <w:rsid w:val="00175878"/>
    <w:rsid w:val="00183588"/>
    <w:rsid w:val="00187B69"/>
    <w:rsid w:val="00187E75"/>
    <w:rsid w:val="001923CE"/>
    <w:rsid w:val="00192AE5"/>
    <w:rsid w:val="00197DCA"/>
    <w:rsid w:val="001A2FEA"/>
    <w:rsid w:val="001A3312"/>
    <w:rsid w:val="001A677B"/>
    <w:rsid w:val="001B0BAC"/>
    <w:rsid w:val="001B14EB"/>
    <w:rsid w:val="001B1795"/>
    <w:rsid w:val="001B56C2"/>
    <w:rsid w:val="001B7E57"/>
    <w:rsid w:val="001C08CB"/>
    <w:rsid w:val="001C29BC"/>
    <w:rsid w:val="001C322D"/>
    <w:rsid w:val="001C58AE"/>
    <w:rsid w:val="001C620C"/>
    <w:rsid w:val="001C79FA"/>
    <w:rsid w:val="001C7B03"/>
    <w:rsid w:val="001C7E26"/>
    <w:rsid w:val="001D0145"/>
    <w:rsid w:val="001D107F"/>
    <w:rsid w:val="001E0718"/>
    <w:rsid w:val="001E48FB"/>
    <w:rsid w:val="001E693D"/>
    <w:rsid w:val="001F03FD"/>
    <w:rsid w:val="001F3A40"/>
    <w:rsid w:val="001F5614"/>
    <w:rsid w:val="001F5A2F"/>
    <w:rsid w:val="001F718D"/>
    <w:rsid w:val="001F7B87"/>
    <w:rsid w:val="001F7D8F"/>
    <w:rsid w:val="0020336F"/>
    <w:rsid w:val="00205BE9"/>
    <w:rsid w:val="00205C31"/>
    <w:rsid w:val="002060FF"/>
    <w:rsid w:val="00211C56"/>
    <w:rsid w:val="00224030"/>
    <w:rsid w:val="0022416E"/>
    <w:rsid w:val="002267DB"/>
    <w:rsid w:val="002267ED"/>
    <w:rsid w:val="0023287F"/>
    <w:rsid w:val="002346C9"/>
    <w:rsid w:val="00235403"/>
    <w:rsid w:val="00236E1A"/>
    <w:rsid w:val="002420D1"/>
    <w:rsid w:val="00242595"/>
    <w:rsid w:val="002450BB"/>
    <w:rsid w:val="00246E39"/>
    <w:rsid w:val="002511FF"/>
    <w:rsid w:val="0025212D"/>
    <w:rsid w:val="002529E2"/>
    <w:rsid w:val="002555D5"/>
    <w:rsid w:val="002617ED"/>
    <w:rsid w:val="0026796B"/>
    <w:rsid w:val="00273320"/>
    <w:rsid w:val="00281049"/>
    <w:rsid w:val="00282E0B"/>
    <w:rsid w:val="00283ABE"/>
    <w:rsid w:val="00287F64"/>
    <w:rsid w:val="002A2285"/>
    <w:rsid w:val="002A4D83"/>
    <w:rsid w:val="002B0591"/>
    <w:rsid w:val="002B262E"/>
    <w:rsid w:val="002B3803"/>
    <w:rsid w:val="002B42FA"/>
    <w:rsid w:val="002B4714"/>
    <w:rsid w:val="002B6BA5"/>
    <w:rsid w:val="002B7969"/>
    <w:rsid w:val="002C6880"/>
    <w:rsid w:val="002C6F41"/>
    <w:rsid w:val="002C7B53"/>
    <w:rsid w:val="002D1102"/>
    <w:rsid w:val="002D210B"/>
    <w:rsid w:val="002E08B2"/>
    <w:rsid w:val="00306598"/>
    <w:rsid w:val="00311E6C"/>
    <w:rsid w:val="00321BAA"/>
    <w:rsid w:val="0032535D"/>
    <w:rsid w:val="00325F04"/>
    <w:rsid w:val="003320D0"/>
    <w:rsid w:val="00332326"/>
    <w:rsid w:val="003351DC"/>
    <w:rsid w:val="00340F40"/>
    <w:rsid w:val="00341C65"/>
    <w:rsid w:val="003542B8"/>
    <w:rsid w:val="00355508"/>
    <w:rsid w:val="003575CC"/>
    <w:rsid w:val="0036218F"/>
    <w:rsid w:val="003635C7"/>
    <w:rsid w:val="00370964"/>
    <w:rsid w:val="0037124E"/>
    <w:rsid w:val="00372DA5"/>
    <w:rsid w:val="00374BC1"/>
    <w:rsid w:val="00377331"/>
    <w:rsid w:val="00380868"/>
    <w:rsid w:val="00380AD4"/>
    <w:rsid w:val="00384995"/>
    <w:rsid w:val="003915C8"/>
    <w:rsid w:val="003948E4"/>
    <w:rsid w:val="00395ADE"/>
    <w:rsid w:val="00396C06"/>
    <w:rsid w:val="00397E04"/>
    <w:rsid w:val="003A0711"/>
    <w:rsid w:val="003A3FE5"/>
    <w:rsid w:val="003A4B61"/>
    <w:rsid w:val="003B0448"/>
    <w:rsid w:val="003B0486"/>
    <w:rsid w:val="003B1D52"/>
    <w:rsid w:val="003B228A"/>
    <w:rsid w:val="003C02BD"/>
    <w:rsid w:val="003C313D"/>
    <w:rsid w:val="003D1873"/>
    <w:rsid w:val="003D6767"/>
    <w:rsid w:val="003D7C53"/>
    <w:rsid w:val="003E11B7"/>
    <w:rsid w:val="003E1424"/>
    <w:rsid w:val="003E2F37"/>
    <w:rsid w:val="003E7289"/>
    <w:rsid w:val="003E7304"/>
    <w:rsid w:val="003F775D"/>
    <w:rsid w:val="00411202"/>
    <w:rsid w:val="00411B6F"/>
    <w:rsid w:val="00414A9C"/>
    <w:rsid w:val="00416576"/>
    <w:rsid w:val="00416893"/>
    <w:rsid w:val="00416A9B"/>
    <w:rsid w:val="004172A6"/>
    <w:rsid w:val="00420285"/>
    <w:rsid w:val="00420F7B"/>
    <w:rsid w:val="0042342C"/>
    <w:rsid w:val="0042515F"/>
    <w:rsid w:val="00425BFB"/>
    <w:rsid w:val="00433514"/>
    <w:rsid w:val="00433E15"/>
    <w:rsid w:val="00437B06"/>
    <w:rsid w:val="00446D27"/>
    <w:rsid w:val="00452A60"/>
    <w:rsid w:val="0045581C"/>
    <w:rsid w:val="00455CC2"/>
    <w:rsid w:val="00456514"/>
    <w:rsid w:val="00456AD3"/>
    <w:rsid w:val="00461D77"/>
    <w:rsid w:val="00462B4F"/>
    <w:rsid w:val="00463E9B"/>
    <w:rsid w:val="0046690E"/>
    <w:rsid w:val="00467263"/>
    <w:rsid w:val="00480737"/>
    <w:rsid w:val="004814A1"/>
    <w:rsid w:val="00491AC4"/>
    <w:rsid w:val="00493E52"/>
    <w:rsid w:val="004A0005"/>
    <w:rsid w:val="004A15D6"/>
    <w:rsid w:val="004A5440"/>
    <w:rsid w:val="004B0B07"/>
    <w:rsid w:val="004B5E88"/>
    <w:rsid w:val="004B64E0"/>
    <w:rsid w:val="004B6BD1"/>
    <w:rsid w:val="004B76A4"/>
    <w:rsid w:val="004C35CE"/>
    <w:rsid w:val="004D046C"/>
    <w:rsid w:val="004D1ADA"/>
    <w:rsid w:val="004D294F"/>
    <w:rsid w:val="004D548A"/>
    <w:rsid w:val="004D5A0E"/>
    <w:rsid w:val="004D6144"/>
    <w:rsid w:val="004D6A15"/>
    <w:rsid w:val="004E013E"/>
    <w:rsid w:val="004E521A"/>
    <w:rsid w:val="004E57F5"/>
    <w:rsid w:val="004E72E0"/>
    <w:rsid w:val="004F0FCD"/>
    <w:rsid w:val="004F5F33"/>
    <w:rsid w:val="0050181D"/>
    <w:rsid w:val="00501940"/>
    <w:rsid w:val="00503D33"/>
    <w:rsid w:val="00503DF8"/>
    <w:rsid w:val="00506AA2"/>
    <w:rsid w:val="0050729B"/>
    <w:rsid w:val="00510E3C"/>
    <w:rsid w:val="005114AB"/>
    <w:rsid w:val="005114B1"/>
    <w:rsid w:val="005146F1"/>
    <w:rsid w:val="00520405"/>
    <w:rsid w:val="00536801"/>
    <w:rsid w:val="00541E12"/>
    <w:rsid w:val="00547061"/>
    <w:rsid w:val="00547599"/>
    <w:rsid w:val="00551277"/>
    <w:rsid w:val="00551A70"/>
    <w:rsid w:val="00555C3C"/>
    <w:rsid w:val="005673FA"/>
    <w:rsid w:val="005718E4"/>
    <w:rsid w:val="00574D94"/>
    <w:rsid w:val="00575709"/>
    <w:rsid w:val="00575F76"/>
    <w:rsid w:val="00576048"/>
    <w:rsid w:val="00577776"/>
    <w:rsid w:val="00582629"/>
    <w:rsid w:val="00584431"/>
    <w:rsid w:val="00592238"/>
    <w:rsid w:val="00592F3C"/>
    <w:rsid w:val="005A2F7C"/>
    <w:rsid w:val="005A3A38"/>
    <w:rsid w:val="005A46AC"/>
    <w:rsid w:val="005A55B4"/>
    <w:rsid w:val="005B6C63"/>
    <w:rsid w:val="005C530C"/>
    <w:rsid w:val="005D13C3"/>
    <w:rsid w:val="005D7B3D"/>
    <w:rsid w:val="005E0CBD"/>
    <w:rsid w:val="005E3C8F"/>
    <w:rsid w:val="005E45B8"/>
    <w:rsid w:val="005E57FA"/>
    <w:rsid w:val="005F493A"/>
    <w:rsid w:val="0060029C"/>
    <w:rsid w:val="00607485"/>
    <w:rsid w:val="0060777E"/>
    <w:rsid w:val="00613354"/>
    <w:rsid w:val="00616B7F"/>
    <w:rsid w:val="006176BB"/>
    <w:rsid w:val="00624AB0"/>
    <w:rsid w:val="0062686D"/>
    <w:rsid w:val="006271F2"/>
    <w:rsid w:val="00627553"/>
    <w:rsid w:val="006311A4"/>
    <w:rsid w:val="0063578B"/>
    <w:rsid w:val="00641530"/>
    <w:rsid w:val="00641E3B"/>
    <w:rsid w:val="00654EA0"/>
    <w:rsid w:val="0065516F"/>
    <w:rsid w:val="006561EB"/>
    <w:rsid w:val="00662E13"/>
    <w:rsid w:val="00672CD1"/>
    <w:rsid w:val="0067637F"/>
    <w:rsid w:val="006808B9"/>
    <w:rsid w:val="00685A59"/>
    <w:rsid w:val="00692A19"/>
    <w:rsid w:val="00695846"/>
    <w:rsid w:val="0069739B"/>
    <w:rsid w:val="00697B1D"/>
    <w:rsid w:val="006A0479"/>
    <w:rsid w:val="006A1047"/>
    <w:rsid w:val="006A554C"/>
    <w:rsid w:val="006A646F"/>
    <w:rsid w:val="006A7B39"/>
    <w:rsid w:val="006B104F"/>
    <w:rsid w:val="006C4E04"/>
    <w:rsid w:val="006D28F2"/>
    <w:rsid w:val="006D2EE8"/>
    <w:rsid w:val="006D3DB8"/>
    <w:rsid w:val="006D67B8"/>
    <w:rsid w:val="006D7EFE"/>
    <w:rsid w:val="006E02E0"/>
    <w:rsid w:val="006E0655"/>
    <w:rsid w:val="006F4F12"/>
    <w:rsid w:val="006F6C71"/>
    <w:rsid w:val="006F755E"/>
    <w:rsid w:val="007024CC"/>
    <w:rsid w:val="00704F25"/>
    <w:rsid w:val="00712596"/>
    <w:rsid w:val="00714826"/>
    <w:rsid w:val="00723FAF"/>
    <w:rsid w:val="00730060"/>
    <w:rsid w:val="00736080"/>
    <w:rsid w:val="0074017A"/>
    <w:rsid w:val="00745BD7"/>
    <w:rsid w:val="007533F0"/>
    <w:rsid w:val="00756AFA"/>
    <w:rsid w:val="00757982"/>
    <w:rsid w:val="00764B3E"/>
    <w:rsid w:val="00770799"/>
    <w:rsid w:val="0077102B"/>
    <w:rsid w:val="007729DF"/>
    <w:rsid w:val="0077677C"/>
    <w:rsid w:val="007829DE"/>
    <w:rsid w:val="00783770"/>
    <w:rsid w:val="00783DC8"/>
    <w:rsid w:val="00786B13"/>
    <w:rsid w:val="007878E0"/>
    <w:rsid w:val="00790C2B"/>
    <w:rsid w:val="007969DD"/>
    <w:rsid w:val="0079773E"/>
    <w:rsid w:val="007A339C"/>
    <w:rsid w:val="007A3A59"/>
    <w:rsid w:val="007A4168"/>
    <w:rsid w:val="007A4C6E"/>
    <w:rsid w:val="007A5BC7"/>
    <w:rsid w:val="007A7144"/>
    <w:rsid w:val="007B00B1"/>
    <w:rsid w:val="007B4DE7"/>
    <w:rsid w:val="007B64ED"/>
    <w:rsid w:val="007C29AE"/>
    <w:rsid w:val="007C458F"/>
    <w:rsid w:val="007C5984"/>
    <w:rsid w:val="007C7115"/>
    <w:rsid w:val="007D36CB"/>
    <w:rsid w:val="007D6524"/>
    <w:rsid w:val="007E23AC"/>
    <w:rsid w:val="007E25F4"/>
    <w:rsid w:val="007E34B7"/>
    <w:rsid w:val="007E6D8D"/>
    <w:rsid w:val="007F2092"/>
    <w:rsid w:val="00801195"/>
    <w:rsid w:val="008065CE"/>
    <w:rsid w:val="00814D90"/>
    <w:rsid w:val="00821D5D"/>
    <w:rsid w:val="0083078A"/>
    <w:rsid w:val="00831BD7"/>
    <w:rsid w:val="0083699F"/>
    <w:rsid w:val="008426D7"/>
    <w:rsid w:val="00842C4A"/>
    <w:rsid w:val="008435B1"/>
    <w:rsid w:val="008437E8"/>
    <w:rsid w:val="00845729"/>
    <w:rsid w:val="00846E1A"/>
    <w:rsid w:val="00851A64"/>
    <w:rsid w:val="0085399A"/>
    <w:rsid w:val="0085697B"/>
    <w:rsid w:val="00862F09"/>
    <w:rsid w:val="00875C04"/>
    <w:rsid w:val="00875D5F"/>
    <w:rsid w:val="00876C89"/>
    <w:rsid w:val="00885834"/>
    <w:rsid w:val="00886EAA"/>
    <w:rsid w:val="00893174"/>
    <w:rsid w:val="00894784"/>
    <w:rsid w:val="00896D06"/>
    <w:rsid w:val="008A6936"/>
    <w:rsid w:val="008B3502"/>
    <w:rsid w:val="008C025E"/>
    <w:rsid w:val="008C05AA"/>
    <w:rsid w:val="008C0CC4"/>
    <w:rsid w:val="008C47F1"/>
    <w:rsid w:val="008C6727"/>
    <w:rsid w:val="008D70A7"/>
    <w:rsid w:val="008D7308"/>
    <w:rsid w:val="008E2982"/>
    <w:rsid w:val="008E3161"/>
    <w:rsid w:val="008E715E"/>
    <w:rsid w:val="008F0420"/>
    <w:rsid w:val="008F35E3"/>
    <w:rsid w:val="008F4D85"/>
    <w:rsid w:val="008F524B"/>
    <w:rsid w:val="009005B2"/>
    <w:rsid w:val="00903327"/>
    <w:rsid w:val="00905AD3"/>
    <w:rsid w:val="009079FE"/>
    <w:rsid w:val="009148AA"/>
    <w:rsid w:val="009150AD"/>
    <w:rsid w:val="00924D7E"/>
    <w:rsid w:val="00936BD2"/>
    <w:rsid w:val="00943329"/>
    <w:rsid w:val="00944151"/>
    <w:rsid w:val="00944676"/>
    <w:rsid w:val="00945F13"/>
    <w:rsid w:val="0094689D"/>
    <w:rsid w:val="00947DD6"/>
    <w:rsid w:val="00952411"/>
    <w:rsid w:val="0095332C"/>
    <w:rsid w:val="00955746"/>
    <w:rsid w:val="00963264"/>
    <w:rsid w:val="0096542C"/>
    <w:rsid w:val="009744DF"/>
    <w:rsid w:val="009807F3"/>
    <w:rsid w:val="00980E3B"/>
    <w:rsid w:val="00985871"/>
    <w:rsid w:val="00986FDB"/>
    <w:rsid w:val="00995236"/>
    <w:rsid w:val="009A0519"/>
    <w:rsid w:val="009A2A0D"/>
    <w:rsid w:val="009A5DB4"/>
    <w:rsid w:val="009A6D76"/>
    <w:rsid w:val="009B2196"/>
    <w:rsid w:val="009B6619"/>
    <w:rsid w:val="009C138F"/>
    <w:rsid w:val="009C1BAC"/>
    <w:rsid w:val="009C3151"/>
    <w:rsid w:val="009C390F"/>
    <w:rsid w:val="009C39A0"/>
    <w:rsid w:val="009C5513"/>
    <w:rsid w:val="009C7266"/>
    <w:rsid w:val="009D2AE9"/>
    <w:rsid w:val="009D2F8F"/>
    <w:rsid w:val="009D3D0C"/>
    <w:rsid w:val="009E04EA"/>
    <w:rsid w:val="009E6523"/>
    <w:rsid w:val="009E6D70"/>
    <w:rsid w:val="009F3171"/>
    <w:rsid w:val="009F5F7D"/>
    <w:rsid w:val="009F6619"/>
    <w:rsid w:val="009F6D68"/>
    <w:rsid w:val="00A042FC"/>
    <w:rsid w:val="00A21960"/>
    <w:rsid w:val="00A26370"/>
    <w:rsid w:val="00A32062"/>
    <w:rsid w:val="00A34894"/>
    <w:rsid w:val="00A37CEF"/>
    <w:rsid w:val="00A42A7A"/>
    <w:rsid w:val="00A45EC5"/>
    <w:rsid w:val="00A542AD"/>
    <w:rsid w:val="00A625F5"/>
    <w:rsid w:val="00A646F8"/>
    <w:rsid w:val="00A649F2"/>
    <w:rsid w:val="00A674A2"/>
    <w:rsid w:val="00A72FFF"/>
    <w:rsid w:val="00A772F9"/>
    <w:rsid w:val="00A833B7"/>
    <w:rsid w:val="00A90AE8"/>
    <w:rsid w:val="00A97928"/>
    <w:rsid w:val="00AA583F"/>
    <w:rsid w:val="00AA7330"/>
    <w:rsid w:val="00AB3AF6"/>
    <w:rsid w:val="00AC5AB6"/>
    <w:rsid w:val="00AD08F2"/>
    <w:rsid w:val="00AD3C16"/>
    <w:rsid w:val="00AF2B39"/>
    <w:rsid w:val="00B00FC1"/>
    <w:rsid w:val="00B03954"/>
    <w:rsid w:val="00B05DD6"/>
    <w:rsid w:val="00B06582"/>
    <w:rsid w:val="00B068EA"/>
    <w:rsid w:val="00B077B1"/>
    <w:rsid w:val="00B139C6"/>
    <w:rsid w:val="00B31056"/>
    <w:rsid w:val="00B3488C"/>
    <w:rsid w:val="00B35892"/>
    <w:rsid w:val="00B40BE2"/>
    <w:rsid w:val="00B4109A"/>
    <w:rsid w:val="00B52F53"/>
    <w:rsid w:val="00B56A78"/>
    <w:rsid w:val="00B57959"/>
    <w:rsid w:val="00B57F1F"/>
    <w:rsid w:val="00B61D60"/>
    <w:rsid w:val="00B62DF0"/>
    <w:rsid w:val="00B67A4B"/>
    <w:rsid w:val="00B70039"/>
    <w:rsid w:val="00B73C3D"/>
    <w:rsid w:val="00B80CEA"/>
    <w:rsid w:val="00B840DB"/>
    <w:rsid w:val="00B852D4"/>
    <w:rsid w:val="00B8649F"/>
    <w:rsid w:val="00B92736"/>
    <w:rsid w:val="00B94375"/>
    <w:rsid w:val="00B94C0C"/>
    <w:rsid w:val="00B95792"/>
    <w:rsid w:val="00BA6345"/>
    <w:rsid w:val="00BB0A92"/>
    <w:rsid w:val="00BB1F93"/>
    <w:rsid w:val="00BB28C0"/>
    <w:rsid w:val="00BB4492"/>
    <w:rsid w:val="00BC05F1"/>
    <w:rsid w:val="00BC2FD5"/>
    <w:rsid w:val="00BC3352"/>
    <w:rsid w:val="00BC3F5B"/>
    <w:rsid w:val="00BC40A8"/>
    <w:rsid w:val="00BC780B"/>
    <w:rsid w:val="00BD5EED"/>
    <w:rsid w:val="00BD79E7"/>
    <w:rsid w:val="00BD7FF5"/>
    <w:rsid w:val="00BE232C"/>
    <w:rsid w:val="00BE33B7"/>
    <w:rsid w:val="00BE4F5F"/>
    <w:rsid w:val="00BE5207"/>
    <w:rsid w:val="00BF1221"/>
    <w:rsid w:val="00BF4317"/>
    <w:rsid w:val="00BF6B52"/>
    <w:rsid w:val="00BF7844"/>
    <w:rsid w:val="00C1165A"/>
    <w:rsid w:val="00C1170A"/>
    <w:rsid w:val="00C13132"/>
    <w:rsid w:val="00C13A41"/>
    <w:rsid w:val="00C16632"/>
    <w:rsid w:val="00C30CE9"/>
    <w:rsid w:val="00C31A38"/>
    <w:rsid w:val="00C40A38"/>
    <w:rsid w:val="00C418D4"/>
    <w:rsid w:val="00C5536A"/>
    <w:rsid w:val="00C565EE"/>
    <w:rsid w:val="00C61ED0"/>
    <w:rsid w:val="00C800AB"/>
    <w:rsid w:val="00C80ED4"/>
    <w:rsid w:val="00C84CF7"/>
    <w:rsid w:val="00C93686"/>
    <w:rsid w:val="00C95DD8"/>
    <w:rsid w:val="00C95F80"/>
    <w:rsid w:val="00CA1B38"/>
    <w:rsid w:val="00CB2ED6"/>
    <w:rsid w:val="00CB575A"/>
    <w:rsid w:val="00CC6F87"/>
    <w:rsid w:val="00CD2A14"/>
    <w:rsid w:val="00CD30BF"/>
    <w:rsid w:val="00CD56BE"/>
    <w:rsid w:val="00CD7ECD"/>
    <w:rsid w:val="00CF29DB"/>
    <w:rsid w:val="00D03AD0"/>
    <w:rsid w:val="00D0403E"/>
    <w:rsid w:val="00D05155"/>
    <w:rsid w:val="00D13ADD"/>
    <w:rsid w:val="00D17651"/>
    <w:rsid w:val="00D1782A"/>
    <w:rsid w:val="00D205C9"/>
    <w:rsid w:val="00D2795A"/>
    <w:rsid w:val="00D31B35"/>
    <w:rsid w:val="00D32EF4"/>
    <w:rsid w:val="00D333BE"/>
    <w:rsid w:val="00D33F6C"/>
    <w:rsid w:val="00D36917"/>
    <w:rsid w:val="00D3777B"/>
    <w:rsid w:val="00D40B6E"/>
    <w:rsid w:val="00D50AEF"/>
    <w:rsid w:val="00D516B1"/>
    <w:rsid w:val="00D574F7"/>
    <w:rsid w:val="00D5776E"/>
    <w:rsid w:val="00D6210B"/>
    <w:rsid w:val="00D63514"/>
    <w:rsid w:val="00D638C0"/>
    <w:rsid w:val="00D66DC1"/>
    <w:rsid w:val="00D737A8"/>
    <w:rsid w:val="00D74DF7"/>
    <w:rsid w:val="00D80C66"/>
    <w:rsid w:val="00D822A9"/>
    <w:rsid w:val="00D85292"/>
    <w:rsid w:val="00D8558E"/>
    <w:rsid w:val="00D85946"/>
    <w:rsid w:val="00D92330"/>
    <w:rsid w:val="00DA14BA"/>
    <w:rsid w:val="00DA20C9"/>
    <w:rsid w:val="00DA267C"/>
    <w:rsid w:val="00DA4F8B"/>
    <w:rsid w:val="00DB50E4"/>
    <w:rsid w:val="00DC0076"/>
    <w:rsid w:val="00DC20B6"/>
    <w:rsid w:val="00DC6633"/>
    <w:rsid w:val="00DC6790"/>
    <w:rsid w:val="00DD5B7B"/>
    <w:rsid w:val="00DE2BF8"/>
    <w:rsid w:val="00DE3C0C"/>
    <w:rsid w:val="00DE5432"/>
    <w:rsid w:val="00DE5611"/>
    <w:rsid w:val="00DF13A3"/>
    <w:rsid w:val="00E01CBE"/>
    <w:rsid w:val="00E024A0"/>
    <w:rsid w:val="00E02AD1"/>
    <w:rsid w:val="00E04871"/>
    <w:rsid w:val="00E20D24"/>
    <w:rsid w:val="00E21526"/>
    <w:rsid w:val="00E24464"/>
    <w:rsid w:val="00E26672"/>
    <w:rsid w:val="00E279FE"/>
    <w:rsid w:val="00E27A3D"/>
    <w:rsid w:val="00E31159"/>
    <w:rsid w:val="00E352A1"/>
    <w:rsid w:val="00E379E5"/>
    <w:rsid w:val="00E41E81"/>
    <w:rsid w:val="00E6581C"/>
    <w:rsid w:val="00E745E1"/>
    <w:rsid w:val="00E753F0"/>
    <w:rsid w:val="00E76994"/>
    <w:rsid w:val="00E80695"/>
    <w:rsid w:val="00E8136A"/>
    <w:rsid w:val="00E8369E"/>
    <w:rsid w:val="00E93C83"/>
    <w:rsid w:val="00E97D82"/>
    <w:rsid w:val="00EA0D3D"/>
    <w:rsid w:val="00EA3130"/>
    <w:rsid w:val="00EB0C5B"/>
    <w:rsid w:val="00EC14FE"/>
    <w:rsid w:val="00EC3B13"/>
    <w:rsid w:val="00EC6364"/>
    <w:rsid w:val="00EC76D0"/>
    <w:rsid w:val="00ED4A6A"/>
    <w:rsid w:val="00ED4F0B"/>
    <w:rsid w:val="00EE076C"/>
    <w:rsid w:val="00EE28E1"/>
    <w:rsid w:val="00EE48FF"/>
    <w:rsid w:val="00EE7C0C"/>
    <w:rsid w:val="00EF5657"/>
    <w:rsid w:val="00EF61BA"/>
    <w:rsid w:val="00EF6230"/>
    <w:rsid w:val="00F021B1"/>
    <w:rsid w:val="00F05220"/>
    <w:rsid w:val="00F0603B"/>
    <w:rsid w:val="00F101F1"/>
    <w:rsid w:val="00F11959"/>
    <w:rsid w:val="00F156CE"/>
    <w:rsid w:val="00F2188F"/>
    <w:rsid w:val="00F22C8A"/>
    <w:rsid w:val="00F25560"/>
    <w:rsid w:val="00F260F6"/>
    <w:rsid w:val="00F26C62"/>
    <w:rsid w:val="00F274C4"/>
    <w:rsid w:val="00F27AF5"/>
    <w:rsid w:val="00F34109"/>
    <w:rsid w:val="00F46D64"/>
    <w:rsid w:val="00F513C9"/>
    <w:rsid w:val="00F51786"/>
    <w:rsid w:val="00F51A7A"/>
    <w:rsid w:val="00F56188"/>
    <w:rsid w:val="00F6017D"/>
    <w:rsid w:val="00F63F18"/>
    <w:rsid w:val="00F66749"/>
    <w:rsid w:val="00F72D7D"/>
    <w:rsid w:val="00F73709"/>
    <w:rsid w:val="00F7580F"/>
    <w:rsid w:val="00F75F5C"/>
    <w:rsid w:val="00F8698E"/>
    <w:rsid w:val="00F87148"/>
    <w:rsid w:val="00F90F56"/>
    <w:rsid w:val="00F92F1F"/>
    <w:rsid w:val="00FA0EBB"/>
    <w:rsid w:val="00FA4EE2"/>
    <w:rsid w:val="00FA5A4B"/>
    <w:rsid w:val="00FA70D2"/>
    <w:rsid w:val="00FB0CFB"/>
    <w:rsid w:val="00FB191B"/>
    <w:rsid w:val="00FC24B3"/>
    <w:rsid w:val="00FC266D"/>
    <w:rsid w:val="00FC51B0"/>
    <w:rsid w:val="00FD012F"/>
    <w:rsid w:val="00FD2FC5"/>
    <w:rsid w:val="00FD54EE"/>
    <w:rsid w:val="00FD55B2"/>
    <w:rsid w:val="00FE038B"/>
    <w:rsid w:val="00FE0B1A"/>
    <w:rsid w:val="00FE3074"/>
    <w:rsid w:val="00FE3274"/>
    <w:rsid w:val="00FE5264"/>
    <w:rsid w:val="00FE5A63"/>
    <w:rsid w:val="00FE783F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docId w15:val="{91988816-8712-4D26-A67E-3C5AD2BF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502"/>
    <w:pPr>
      <w:spacing w:after="0" w:line="240" w:lineRule="auto"/>
    </w:pPr>
    <w:rPr>
      <w:rFonts w:ascii="Aerial" w:hAnsi="Ae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502"/>
    <w:pPr>
      <w:ind w:left="720"/>
      <w:contextualSpacing/>
    </w:pPr>
  </w:style>
  <w:style w:type="paragraph" w:customStyle="1" w:styleId="Default">
    <w:name w:val="Default"/>
    <w:rsid w:val="008B35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8B3502"/>
    <w:rPr>
      <w:color w:val="0000FF"/>
      <w:u w:val="single"/>
    </w:rPr>
  </w:style>
  <w:style w:type="table" w:styleId="TableGrid">
    <w:name w:val="Table Grid"/>
    <w:basedOn w:val="TableNormal"/>
    <w:rsid w:val="008D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85F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F2B"/>
    <w:rPr>
      <w:rFonts w:ascii="Aerial" w:hAnsi="Aerial"/>
      <w:sz w:val="24"/>
    </w:rPr>
  </w:style>
  <w:style w:type="paragraph" w:styleId="Footer">
    <w:name w:val="footer"/>
    <w:basedOn w:val="Normal"/>
    <w:link w:val="FooterChar"/>
    <w:uiPriority w:val="99"/>
    <w:unhideWhenUsed/>
    <w:rsid w:val="00085F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F2B"/>
    <w:rPr>
      <w:rFonts w:ascii="Aerial" w:hAnsi="Aerial"/>
      <w:sz w:val="24"/>
    </w:rPr>
  </w:style>
  <w:style w:type="paragraph" w:styleId="BalloonText">
    <w:name w:val="Balloon Text"/>
    <w:basedOn w:val="Normal"/>
    <w:link w:val="BalloonTextChar"/>
    <w:semiHidden/>
    <w:unhideWhenUsed/>
    <w:rsid w:val="00B73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C3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41E3B"/>
  </w:style>
  <w:style w:type="paragraph" w:styleId="NormalWeb">
    <w:name w:val="Normal (Web)"/>
    <w:basedOn w:val="Normal"/>
    <w:uiPriority w:val="99"/>
    <w:unhideWhenUsed/>
    <w:rsid w:val="00641E3B"/>
    <w:rPr>
      <w:rFonts w:ascii="Times New Roman" w:eastAsia="Calibri" w:hAnsi="Times New Roman" w:cs="Times New Roman"/>
      <w:szCs w:val="24"/>
      <w:lang w:eastAsia="en-GB"/>
    </w:rPr>
  </w:style>
  <w:style w:type="paragraph" w:styleId="Title">
    <w:name w:val="Title"/>
    <w:basedOn w:val="Normal"/>
    <w:link w:val="TitleChar"/>
    <w:qFormat/>
    <w:rsid w:val="00641E3B"/>
    <w:pPr>
      <w:widowControl w:val="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1E3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B15C5-6D4A-4609-ADD5-3C588D80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8830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Allcock</dc:creator>
  <cp:lastModifiedBy>David Mee</cp:lastModifiedBy>
  <cp:revision>25</cp:revision>
  <cp:lastPrinted>2016-01-27T10:42:00Z</cp:lastPrinted>
  <dcterms:created xsi:type="dcterms:W3CDTF">2018-10-30T16:44:00Z</dcterms:created>
  <dcterms:modified xsi:type="dcterms:W3CDTF">2018-11-16T15:50:03Z</dcterms:modified>
  <dc:title>Early Years Block budgets 2019-20</dc:title>
  <cp:keywords>
  </cp:keywords>
  <dc:subject>
  </dc:subject>
</cp:coreProperties>
</file>